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BC" w:rsidRDefault="00CB3BBE">
      <w:pPr>
        <w:ind w:firstLineChars="100" w:firstLine="360"/>
        <w:jc w:val="center"/>
        <w:rPr>
          <w:rFonts w:ascii="华文中宋" w:eastAsia="华文中宋" w:hAnsi="华文中宋" w:cs="华文中宋"/>
          <w:sz w:val="36"/>
          <w:szCs w:val="36"/>
          <w:lang w:eastAsia="zh-CN"/>
        </w:rPr>
      </w:pPr>
      <w:r>
        <w:rPr>
          <w:rFonts w:ascii="华文中宋" w:eastAsia="华文中宋" w:hAnsi="华文中宋" w:cs="华文中宋" w:hint="eastAsia"/>
          <w:sz w:val="36"/>
          <w:szCs w:val="36"/>
          <w:lang w:eastAsia="zh-CN"/>
        </w:rPr>
        <w:t>浙江舟山普陀农村商业银行股份有限公司</w:t>
      </w:r>
    </w:p>
    <w:p w:rsidR="000376BC" w:rsidRDefault="00CB3BBE">
      <w:pPr>
        <w:ind w:firstLineChars="100" w:firstLine="360"/>
        <w:jc w:val="center"/>
        <w:rPr>
          <w:rFonts w:ascii="华文中宋" w:eastAsia="华文中宋" w:hAnsi="华文中宋" w:cs="华文中宋"/>
          <w:sz w:val="36"/>
          <w:szCs w:val="36"/>
          <w:lang w:eastAsia="zh-CN"/>
        </w:rPr>
      </w:pPr>
      <w:r>
        <w:rPr>
          <w:rFonts w:ascii="华文中宋" w:eastAsia="华文中宋" w:hAnsi="华文中宋" w:cs="华文中宋" w:hint="eastAsia"/>
          <w:sz w:val="36"/>
          <w:szCs w:val="36"/>
          <w:lang w:eastAsia="zh-CN"/>
        </w:rPr>
        <w:t>2024年第</w:t>
      </w:r>
      <w:r w:rsidR="000F279F">
        <w:rPr>
          <w:rFonts w:ascii="华文中宋" w:eastAsia="华文中宋" w:hAnsi="华文中宋" w:cs="华文中宋" w:hint="eastAsia"/>
          <w:sz w:val="36"/>
          <w:szCs w:val="36"/>
          <w:lang w:eastAsia="zh-CN"/>
        </w:rPr>
        <w:t>三</w:t>
      </w:r>
      <w:r>
        <w:rPr>
          <w:rFonts w:ascii="华文中宋" w:eastAsia="华文中宋" w:hAnsi="华文中宋" w:cs="华文中宋" w:hint="eastAsia"/>
          <w:sz w:val="36"/>
          <w:szCs w:val="36"/>
          <w:lang w:eastAsia="zh-CN"/>
        </w:rPr>
        <w:t>季度第三支柱信息披露报告</w:t>
      </w:r>
    </w:p>
    <w:p w:rsidR="000F279F" w:rsidRPr="000F279F" w:rsidRDefault="000F279F" w:rsidP="000F279F">
      <w:pPr>
        <w:pStyle w:val="a5"/>
        <w:spacing w:line="520" w:lineRule="exact"/>
        <w:ind w:firstLine="600"/>
        <w:rPr>
          <w:rFonts w:ascii="仿宋" w:eastAsia="仿宋" w:hAnsi="仿宋" w:cs="仿宋"/>
          <w:sz w:val="30"/>
          <w:szCs w:val="30"/>
        </w:rPr>
      </w:pPr>
      <w:r w:rsidRPr="000F279F">
        <w:rPr>
          <w:rFonts w:ascii="仿宋" w:eastAsia="仿宋" w:hAnsi="仿宋" w:cs="仿宋" w:hint="eastAsia"/>
          <w:sz w:val="30"/>
          <w:szCs w:val="30"/>
          <w:lang w:eastAsia="zh-CN"/>
        </w:rPr>
        <w:t>浙江舟山普陀农村商业银行股份有限公司（以下简称“本行”）为非国内系统重要性银行。本报告根据国家金融监督管理总局令第4号《商业银行资本管理办法》（以下简称“《管理办法》”）及相关规定编制并披露。</w:t>
      </w:r>
      <w:r w:rsidRPr="000F279F">
        <w:rPr>
          <w:rFonts w:ascii="仿宋" w:eastAsia="仿宋" w:hAnsi="仿宋" w:cs="仿宋" w:hint="eastAsia"/>
          <w:sz w:val="30"/>
          <w:szCs w:val="30"/>
        </w:rPr>
        <w:t>2024年第</w:t>
      </w:r>
      <w:r>
        <w:rPr>
          <w:rFonts w:ascii="仿宋" w:eastAsia="仿宋" w:hAnsi="仿宋" w:cs="仿宋" w:hint="eastAsia"/>
          <w:sz w:val="30"/>
          <w:szCs w:val="30"/>
          <w:lang w:eastAsia="zh-CN"/>
        </w:rPr>
        <w:t>三</w:t>
      </w:r>
      <w:r w:rsidRPr="000F279F">
        <w:rPr>
          <w:rFonts w:ascii="仿宋" w:eastAsia="仿宋" w:hAnsi="仿宋" w:cs="仿宋" w:hint="eastAsia"/>
          <w:sz w:val="30"/>
          <w:szCs w:val="30"/>
        </w:rPr>
        <w:t>季度，本行需披露的报表如下：</w:t>
      </w:r>
    </w:p>
    <w:p w:rsidR="000376BC" w:rsidRDefault="00CB3BBE">
      <w:pPr>
        <w:numPr>
          <w:ilvl w:val="0"/>
          <w:numId w:val="1"/>
        </w:numPr>
        <w:spacing w:line="520" w:lineRule="exact"/>
        <w:rPr>
          <w:rFonts w:ascii="仿宋" w:eastAsia="仿宋" w:hAnsi="仿宋" w:cs="仿宋"/>
          <w:b/>
          <w:bCs/>
          <w:sz w:val="30"/>
          <w:szCs w:val="30"/>
          <w:lang w:eastAsia="zh-CN"/>
        </w:rPr>
      </w:pPr>
      <w:r>
        <w:rPr>
          <w:rFonts w:ascii="仿宋" w:eastAsia="仿宋" w:hAnsi="仿宋" w:cs="仿宋" w:hint="eastAsia"/>
          <w:b/>
          <w:bCs/>
          <w:sz w:val="30"/>
          <w:szCs w:val="30"/>
          <w:lang w:eastAsia="zh-CN"/>
        </w:rPr>
        <w:t>表格KM1：监管并表关键审慎监管指标</w:t>
      </w:r>
    </w:p>
    <w:p w:rsidR="000376BC" w:rsidRDefault="00CB3BBE">
      <w:pPr>
        <w:spacing w:line="520" w:lineRule="exact"/>
        <w:jc w:val="right"/>
        <w:rPr>
          <w:rFonts w:ascii="仿宋" w:eastAsia="仿宋" w:hAnsi="仿宋" w:cs="仿宋"/>
          <w:sz w:val="30"/>
          <w:szCs w:val="30"/>
          <w:lang w:eastAsia="zh-CN"/>
        </w:rPr>
      </w:pPr>
      <w:r>
        <w:rPr>
          <w:rFonts w:ascii="仿宋" w:eastAsia="仿宋" w:hAnsi="仿宋" w:cs="仿宋" w:hint="eastAsia"/>
          <w:sz w:val="30"/>
          <w:szCs w:val="30"/>
          <w:lang w:eastAsia="zh-CN"/>
        </w:rPr>
        <w:t>单位：</w:t>
      </w:r>
      <w:r w:rsidR="00260455">
        <w:rPr>
          <w:rFonts w:ascii="仿宋" w:eastAsia="仿宋" w:hAnsi="仿宋" w:cs="仿宋" w:hint="eastAsia"/>
          <w:sz w:val="30"/>
          <w:szCs w:val="30"/>
          <w:lang w:eastAsia="zh-CN"/>
        </w:rPr>
        <w:t>人民币万元</w:t>
      </w:r>
      <w:r w:rsidR="00D70008">
        <w:rPr>
          <w:rFonts w:ascii="仿宋" w:eastAsia="仿宋" w:hAnsi="仿宋" w:cs="仿宋" w:hint="eastAsia"/>
          <w:sz w:val="30"/>
          <w:szCs w:val="3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223"/>
        <w:gridCol w:w="1789"/>
        <w:gridCol w:w="1893"/>
      </w:tblGrid>
      <w:tr w:rsidR="000F279F" w:rsidTr="004907D1">
        <w:trPr>
          <w:trHeight w:val="534"/>
        </w:trPr>
        <w:tc>
          <w:tcPr>
            <w:tcW w:w="4840" w:type="dxa"/>
            <w:gridSpan w:val="2"/>
          </w:tcPr>
          <w:p w:rsidR="000F279F" w:rsidRPr="00142086" w:rsidRDefault="000F279F" w:rsidP="004907D1">
            <w:pPr>
              <w:snapToGrid w:val="0"/>
              <w:spacing w:line="480" w:lineRule="exact"/>
              <w:jc w:val="center"/>
              <w:rPr>
                <w:rFonts w:ascii="仿宋_GB2312" w:eastAsia="仿宋_GB2312" w:hAnsi="仿宋_GB2312" w:cs="仿宋_GB2312"/>
                <w:color w:val="000000" w:themeColor="text1"/>
                <w:lang w:eastAsia="zh-CN"/>
              </w:rPr>
            </w:pPr>
            <w:bookmarkStart w:id="0" w:name="_GoBack"/>
            <w:bookmarkEnd w:id="0"/>
            <w:r w:rsidRPr="00142086">
              <w:rPr>
                <w:rFonts w:ascii="仿宋_GB2312" w:eastAsia="仿宋_GB2312" w:hAnsi="仿宋_GB2312" w:cs="仿宋_GB2312" w:hint="eastAsia"/>
                <w:color w:val="000000" w:themeColor="text1"/>
                <w:lang w:eastAsia="zh-CN"/>
              </w:rPr>
              <w:t>项目</w:t>
            </w:r>
          </w:p>
        </w:tc>
        <w:tc>
          <w:tcPr>
            <w:tcW w:w="1789" w:type="dxa"/>
            <w:vAlign w:val="center"/>
          </w:tcPr>
          <w:p w:rsidR="000F279F" w:rsidRPr="00142086" w:rsidRDefault="000F279F" w:rsidP="000F279F">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2024年</w:t>
            </w:r>
            <w:r>
              <w:rPr>
                <w:rFonts w:ascii="仿宋_GB2312" w:eastAsia="仿宋_GB2312" w:hAnsi="仿宋_GB2312" w:cs="仿宋_GB2312" w:hint="eastAsia"/>
                <w:color w:val="000000" w:themeColor="text1"/>
                <w:lang w:eastAsia="zh-CN"/>
              </w:rPr>
              <w:t>9</w:t>
            </w:r>
            <w:r>
              <w:rPr>
                <w:rFonts w:ascii="仿宋_GB2312" w:eastAsia="仿宋_GB2312" w:hAnsi="仿宋_GB2312" w:cs="仿宋_GB2312" w:hint="eastAsia"/>
                <w:color w:val="000000" w:themeColor="text1"/>
                <w:lang w:eastAsia="zh-CN"/>
              </w:rPr>
              <w:t>月</w:t>
            </w:r>
          </w:p>
        </w:tc>
        <w:tc>
          <w:tcPr>
            <w:tcW w:w="1893" w:type="dxa"/>
          </w:tcPr>
          <w:p w:rsidR="000F279F" w:rsidRPr="00142086" w:rsidRDefault="000F279F" w:rsidP="000F279F">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2024年</w:t>
            </w:r>
            <w:r>
              <w:rPr>
                <w:rFonts w:ascii="仿宋_GB2312" w:eastAsia="仿宋_GB2312" w:hAnsi="仿宋_GB2312" w:cs="仿宋_GB2312" w:hint="eastAsia"/>
                <w:color w:val="000000" w:themeColor="text1"/>
                <w:lang w:eastAsia="zh-CN"/>
              </w:rPr>
              <w:t>6</w:t>
            </w:r>
            <w:r>
              <w:rPr>
                <w:rFonts w:ascii="仿宋_GB2312" w:eastAsia="仿宋_GB2312" w:hAnsi="仿宋_GB2312" w:cs="仿宋_GB2312" w:hint="eastAsia"/>
                <w:color w:val="000000" w:themeColor="text1"/>
                <w:lang w:eastAsia="zh-CN"/>
              </w:rPr>
              <w:t>月</w:t>
            </w:r>
          </w:p>
        </w:tc>
      </w:tr>
      <w:tr w:rsidR="000F279F" w:rsidTr="004907D1">
        <w:trPr>
          <w:trHeight w:val="330"/>
        </w:trPr>
        <w:tc>
          <w:tcPr>
            <w:tcW w:w="6629" w:type="dxa"/>
            <w:gridSpan w:val="3"/>
            <w:shd w:val="clear" w:color="auto" w:fill="A9A9A9"/>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rPr>
              <w:t>可用资本（</w:t>
            </w:r>
            <w:r w:rsidRPr="00142086">
              <w:rPr>
                <w:rFonts w:ascii="仿宋_GB2312" w:eastAsia="仿宋_GB2312" w:hAnsi="仿宋_GB2312" w:cs="仿宋_GB2312" w:hint="eastAsia"/>
                <w:b/>
                <w:bCs/>
                <w:color w:val="000000" w:themeColor="text1"/>
                <w:lang w:eastAsia="zh-CN"/>
              </w:rPr>
              <w:t>数额</w:t>
            </w:r>
            <w:r w:rsidRPr="00142086">
              <w:rPr>
                <w:rFonts w:ascii="仿宋_GB2312" w:eastAsia="仿宋_GB2312" w:hAnsi="仿宋_GB2312" w:cs="仿宋_GB2312" w:hint="eastAsia"/>
                <w:b/>
                <w:bCs/>
                <w:color w:val="000000" w:themeColor="text1"/>
              </w:rPr>
              <w:t>）</w:t>
            </w:r>
          </w:p>
        </w:tc>
        <w:tc>
          <w:tcPr>
            <w:tcW w:w="1893" w:type="dxa"/>
            <w:shd w:val="clear" w:color="auto" w:fill="A9A9A9"/>
          </w:tcPr>
          <w:p w:rsidR="000F279F" w:rsidRPr="00142086" w:rsidRDefault="000F279F" w:rsidP="004907D1">
            <w:pPr>
              <w:snapToGrid w:val="0"/>
              <w:spacing w:line="480" w:lineRule="exact"/>
              <w:rPr>
                <w:rFonts w:ascii="仿宋_GB2312" w:eastAsia="仿宋_GB2312" w:hAnsi="仿宋_GB2312" w:cs="仿宋_GB2312"/>
                <w:b/>
                <w:bCs/>
                <w:color w:val="000000" w:themeColor="text1"/>
              </w:rPr>
            </w:pPr>
          </w:p>
        </w:tc>
      </w:tr>
      <w:tr w:rsidR="000F279F" w:rsidTr="004907D1">
        <w:trPr>
          <w:trHeight w:val="330"/>
        </w:trPr>
        <w:tc>
          <w:tcPr>
            <w:tcW w:w="617" w:type="dxa"/>
            <w:vAlign w:val="center"/>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核心一级资本净额</w:t>
            </w:r>
          </w:p>
        </w:tc>
        <w:tc>
          <w:tcPr>
            <w:tcW w:w="1789" w:type="dxa"/>
            <w:vAlign w:val="center"/>
          </w:tcPr>
          <w:p w:rsidR="000F279F" w:rsidRPr="00142086" w:rsidRDefault="000F279F" w:rsidP="000F279F">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w:t>
            </w:r>
            <w:r>
              <w:rPr>
                <w:rFonts w:ascii="仿宋_GB2312" w:eastAsia="仿宋_GB2312" w:hAnsi="仿宋_GB2312" w:cs="仿宋_GB2312" w:hint="eastAsia"/>
                <w:color w:val="000000" w:themeColor="text1"/>
                <w:lang w:eastAsia="zh-CN"/>
              </w:rPr>
              <w:t>255097.26</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247266.72</w:t>
            </w:r>
          </w:p>
        </w:tc>
      </w:tr>
      <w:tr w:rsidR="000F279F" w:rsidTr="004907D1">
        <w:trPr>
          <w:trHeight w:val="330"/>
        </w:trPr>
        <w:tc>
          <w:tcPr>
            <w:tcW w:w="617" w:type="dxa"/>
            <w:vAlign w:val="center"/>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2</w:t>
            </w:r>
          </w:p>
        </w:tc>
        <w:tc>
          <w:tcPr>
            <w:tcW w:w="4223" w:type="dxa"/>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一级资本</w:t>
            </w:r>
            <w:r w:rsidRPr="00142086">
              <w:rPr>
                <w:rFonts w:ascii="仿宋_GB2312" w:eastAsia="仿宋_GB2312" w:hAnsi="仿宋_GB2312" w:cs="仿宋_GB2312" w:hint="eastAsia"/>
                <w:color w:val="000000" w:themeColor="text1"/>
                <w:lang w:eastAsia="zh-CN"/>
              </w:rPr>
              <w:t>净额</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eastAsia="zh-CN"/>
              </w:rPr>
              <w:t>255097.26</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247266.72</w:t>
            </w:r>
          </w:p>
        </w:tc>
      </w:tr>
      <w:tr w:rsidR="000F279F" w:rsidTr="004907D1">
        <w:trPr>
          <w:trHeight w:val="330"/>
        </w:trPr>
        <w:tc>
          <w:tcPr>
            <w:tcW w:w="617" w:type="dxa"/>
            <w:vAlign w:val="center"/>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3</w:t>
            </w:r>
          </w:p>
        </w:tc>
        <w:tc>
          <w:tcPr>
            <w:tcW w:w="4223" w:type="dxa"/>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资本</w:t>
            </w:r>
            <w:r w:rsidRPr="00142086">
              <w:rPr>
                <w:rFonts w:ascii="仿宋_GB2312" w:eastAsia="仿宋_GB2312" w:hAnsi="仿宋_GB2312" w:cs="仿宋_GB2312" w:hint="eastAsia"/>
                <w:color w:val="000000" w:themeColor="text1"/>
                <w:lang w:eastAsia="zh-CN"/>
              </w:rPr>
              <w:t>净额</w:t>
            </w:r>
          </w:p>
        </w:tc>
        <w:tc>
          <w:tcPr>
            <w:tcW w:w="1789" w:type="dxa"/>
            <w:vAlign w:val="center"/>
          </w:tcPr>
          <w:p w:rsidR="002278CA" w:rsidRPr="00142086" w:rsidRDefault="000F279F" w:rsidP="002278CA">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002278CA">
              <w:rPr>
                <w:rFonts w:ascii="仿宋_GB2312" w:eastAsia="仿宋_GB2312" w:hAnsi="仿宋_GB2312" w:cs="仿宋_GB2312" w:hint="eastAsia"/>
                <w:color w:val="000000" w:themeColor="text1"/>
                <w:lang w:eastAsia="zh-CN"/>
              </w:rPr>
              <w:t>322565.30</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314527.69</w:t>
            </w:r>
          </w:p>
        </w:tc>
      </w:tr>
      <w:tr w:rsidR="000F279F" w:rsidTr="004907D1">
        <w:trPr>
          <w:trHeight w:val="330"/>
        </w:trPr>
        <w:tc>
          <w:tcPr>
            <w:tcW w:w="6629" w:type="dxa"/>
            <w:gridSpan w:val="3"/>
            <w:shd w:val="clear" w:color="auto" w:fill="A9A9A9"/>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风险加权资产（数额）</w:t>
            </w:r>
          </w:p>
        </w:tc>
        <w:tc>
          <w:tcPr>
            <w:tcW w:w="1893" w:type="dxa"/>
            <w:shd w:val="clear" w:color="auto" w:fill="A9A9A9"/>
          </w:tcPr>
          <w:p w:rsidR="000F279F" w:rsidRPr="00EE728F" w:rsidRDefault="000F279F" w:rsidP="004907D1">
            <w:pPr>
              <w:snapToGrid w:val="0"/>
              <w:spacing w:line="480" w:lineRule="exact"/>
              <w:jc w:val="both"/>
              <w:rPr>
                <w:rFonts w:ascii="仿宋_GB2312" w:eastAsia="仿宋_GB2312" w:hAnsi="仿宋_GB2312" w:cs="仿宋_GB2312"/>
                <w:color w:val="000000" w:themeColor="text1"/>
                <w:lang w:eastAsia="zh-CN"/>
              </w:rPr>
            </w:pPr>
          </w:p>
        </w:tc>
      </w:tr>
      <w:tr w:rsidR="000F279F" w:rsidTr="004907D1">
        <w:trPr>
          <w:trHeight w:val="330"/>
        </w:trPr>
        <w:tc>
          <w:tcPr>
            <w:tcW w:w="617" w:type="dxa"/>
            <w:vAlign w:val="center"/>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4</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风险加权资产合计</w:t>
            </w:r>
          </w:p>
        </w:tc>
        <w:tc>
          <w:tcPr>
            <w:tcW w:w="1789" w:type="dxa"/>
            <w:vAlign w:val="center"/>
          </w:tcPr>
          <w:p w:rsidR="000F279F" w:rsidRPr="00142086" w:rsidRDefault="000F279F" w:rsidP="002278CA">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w:t>
            </w:r>
            <w:r w:rsidR="002278CA">
              <w:rPr>
                <w:rFonts w:ascii="仿宋_GB2312" w:eastAsia="仿宋_GB2312" w:hAnsi="仿宋_GB2312" w:cs="仿宋_GB2312" w:hint="eastAsia"/>
                <w:color w:val="000000" w:themeColor="text1"/>
                <w:lang w:eastAsia="zh-CN"/>
              </w:rPr>
              <w:t>2345537.04</w:t>
            </w:r>
            <w:r w:rsidRPr="00142086">
              <w:rPr>
                <w:rFonts w:ascii="仿宋_GB2312" w:eastAsia="仿宋_GB2312" w:hAnsi="仿宋_GB2312" w:cs="仿宋_GB2312" w:hint="eastAsia"/>
                <w:color w:val="000000" w:themeColor="text1"/>
                <w:lang w:eastAsia="zh-CN"/>
              </w:rPr>
              <w:t xml:space="preserve"> </w:t>
            </w:r>
          </w:p>
        </w:tc>
        <w:tc>
          <w:tcPr>
            <w:tcW w:w="1893" w:type="dxa"/>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w:t>
            </w:r>
            <w:r w:rsidRPr="00142086">
              <w:rPr>
                <w:rFonts w:ascii="仿宋_GB2312" w:eastAsia="仿宋_GB2312" w:hAnsi="仿宋_GB2312" w:cs="仿宋_GB2312" w:hint="eastAsia"/>
                <w:color w:val="000000" w:themeColor="text1"/>
                <w:lang w:eastAsia="zh-CN"/>
              </w:rPr>
              <w:t>2330218.32</w:t>
            </w:r>
          </w:p>
        </w:tc>
      </w:tr>
      <w:tr w:rsidR="000F279F" w:rsidTr="004907D1">
        <w:trPr>
          <w:trHeight w:val="330"/>
        </w:trPr>
        <w:tc>
          <w:tcPr>
            <w:tcW w:w="6629" w:type="dxa"/>
            <w:gridSpan w:val="3"/>
            <w:shd w:val="clear" w:color="auto" w:fill="A9A9A9"/>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资本充足率</w:t>
            </w:r>
          </w:p>
        </w:tc>
        <w:tc>
          <w:tcPr>
            <w:tcW w:w="1893" w:type="dxa"/>
            <w:shd w:val="clear" w:color="auto" w:fill="A9A9A9"/>
          </w:tcPr>
          <w:p w:rsidR="000F279F" w:rsidRPr="00142086" w:rsidRDefault="000F279F" w:rsidP="004907D1">
            <w:pPr>
              <w:snapToGrid w:val="0"/>
              <w:spacing w:line="480" w:lineRule="exact"/>
              <w:jc w:val="both"/>
              <w:rPr>
                <w:rFonts w:ascii="仿宋_GB2312" w:eastAsia="仿宋_GB2312" w:hAnsi="仿宋_GB2312" w:cs="仿宋_GB2312"/>
                <w:b/>
                <w:bCs/>
                <w:color w:val="000000" w:themeColor="text1"/>
                <w:lang w:eastAsia="zh-CN"/>
              </w:rPr>
            </w:pPr>
          </w:p>
        </w:tc>
      </w:tr>
      <w:tr w:rsidR="000F279F" w:rsidTr="004907D1">
        <w:trPr>
          <w:trHeight w:val="330"/>
        </w:trPr>
        <w:tc>
          <w:tcPr>
            <w:tcW w:w="617" w:type="dxa"/>
            <w:vAlign w:val="center"/>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5</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核心一级资本充足率（</w:t>
            </w:r>
            <w:r w:rsidRPr="00142086">
              <w:rPr>
                <w:rFonts w:ascii="仿宋_GB2312" w:eastAsia="仿宋_GB2312" w:hAnsi="仿宋_GB2312" w:cs="仿宋_GB2312"/>
                <w:color w:val="000000" w:themeColor="text1"/>
                <w:lang w:eastAsia="zh-CN"/>
              </w:rPr>
              <w:t>%）</w:t>
            </w:r>
          </w:p>
        </w:tc>
        <w:tc>
          <w:tcPr>
            <w:tcW w:w="1789" w:type="dxa"/>
            <w:vAlign w:val="center"/>
          </w:tcPr>
          <w:p w:rsidR="000F279F" w:rsidRPr="00142086" w:rsidRDefault="000F279F" w:rsidP="002278CA">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10.</w:t>
            </w:r>
            <w:r w:rsidR="002278CA">
              <w:rPr>
                <w:rFonts w:ascii="仿宋_GB2312" w:eastAsia="仿宋_GB2312" w:hAnsi="仿宋_GB2312" w:cs="仿宋_GB2312" w:hint="eastAsia"/>
                <w:color w:val="000000" w:themeColor="text1"/>
                <w:lang w:eastAsia="zh-CN"/>
              </w:rPr>
              <w:t>88</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10.61</w:t>
            </w:r>
          </w:p>
        </w:tc>
      </w:tr>
      <w:tr w:rsidR="000F279F" w:rsidTr="004907D1">
        <w:trPr>
          <w:trHeight w:val="330"/>
        </w:trPr>
        <w:tc>
          <w:tcPr>
            <w:tcW w:w="617" w:type="dxa"/>
            <w:vAlign w:val="center"/>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6</w:t>
            </w:r>
          </w:p>
        </w:tc>
        <w:tc>
          <w:tcPr>
            <w:tcW w:w="4223" w:type="dxa"/>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一级资本充足率（</w:t>
            </w:r>
            <w:r w:rsidRPr="00142086">
              <w:rPr>
                <w:rFonts w:ascii="仿宋_GB2312" w:eastAsia="仿宋_GB2312" w:hAnsi="仿宋_GB2312" w:cs="仿宋_GB2312"/>
                <w:color w:val="000000" w:themeColor="text1"/>
              </w:rPr>
              <w:t>%）</w:t>
            </w:r>
          </w:p>
        </w:tc>
        <w:tc>
          <w:tcPr>
            <w:tcW w:w="1789" w:type="dxa"/>
            <w:vAlign w:val="center"/>
          </w:tcPr>
          <w:p w:rsidR="000F279F" w:rsidRPr="00142086" w:rsidRDefault="000F279F" w:rsidP="002278CA">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10.</w:t>
            </w:r>
            <w:r w:rsidR="002278CA">
              <w:rPr>
                <w:rFonts w:ascii="仿宋_GB2312" w:eastAsia="仿宋_GB2312" w:hAnsi="仿宋_GB2312" w:cs="仿宋_GB2312" w:hint="eastAsia"/>
                <w:color w:val="000000" w:themeColor="text1"/>
                <w:lang w:eastAsia="zh-CN"/>
              </w:rPr>
              <w:t>88</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10.61</w:t>
            </w:r>
          </w:p>
        </w:tc>
      </w:tr>
      <w:tr w:rsidR="000F279F" w:rsidTr="004907D1">
        <w:trPr>
          <w:trHeight w:val="330"/>
        </w:trPr>
        <w:tc>
          <w:tcPr>
            <w:tcW w:w="617" w:type="dxa"/>
            <w:vAlign w:val="center"/>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7</w:t>
            </w:r>
          </w:p>
        </w:tc>
        <w:tc>
          <w:tcPr>
            <w:tcW w:w="4223" w:type="dxa"/>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资本充足率（</w:t>
            </w:r>
            <w:r w:rsidRPr="00142086">
              <w:rPr>
                <w:rFonts w:ascii="仿宋_GB2312" w:eastAsia="仿宋_GB2312" w:hAnsi="仿宋_GB2312" w:cs="仿宋_GB2312"/>
                <w:color w:val="000000" w:themeColor="text1"/>
              </w:rPr>
              <w:t>%）</w:t>
            </w:r>
          </w:p>
        </w:tc>
        <w:tc>
          <w:tcPr>
            <w:tcW w:w="1789" w:type="dxa"/>
            <w:vAlign w:val="center"/>
          </w:tcPr>
          <w:p w:rsidR="000F279F" w:rsidRPr="00142086" w:rsidRDefault="000F279F" w:rsidP="002278CA">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13.</w:t>
            </w:r>
            <w:r w:rsidR="002278CA">
              <w:rPr>
                <w:rFonts w:ascii="仿宋_GB2312" w:eastAsia="仿宋_GB2312" w:hAnsi="仿宋_GB2312" w:cs="仿宋_GB2312" w:hint="eastAsia"/>
                <w:color w:val="000000" w:themeColor="text1"/>
                <w:lang w:eastAsia="zh-CN"/>
              </w:rPr>
              <w:t>75</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13.50</w:t>
            </w:r>
          </w:p>
        </w:tc>
      </w:tr>
      <w:tr w:rsidR="000F279F" w:rsidTr="004907D1">
        <w:trPr>
          <w:trHeight w:val="355"/>
        </w:trPr>
        <w:tc>
          <w:tcPr>
            <w:tcW w:w="6629" w:type="dxa"/>
            <w:gridSpan w:val="3"/>
            <w:shd w:val="clear" w:color="auto" w:fill="A9A9A9"/>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其他各级资本要求</w:t>
            </w:r>
          </w:p>
        </w:tc>
        <w:tc>
          <w:tcPr>
            <w:tcW w:w="1893" w:type="dxa"/>
            <w:shd w:val="clear" w:color="auto" w:fill="A9A9A9"/>
          </w:tcPr>
          <w:p w:rsidR="000F279F" w:rsidRPr="00EE728F" w:rsidRDefault="000F279F" w:rsidP="004907D1">
            <w:pPr>
              <w:snapToGrid w:val="0"/>
              <w:spacing w:line="480" w:lineRule="exact"/>
              <w:rPr>
                <w:rFonts w:ascii="仿宋_GB2312" w:eastAsia="仿宋_GB2312" w:hAnsi="仿宋_GB2312" w:cs="仿宋_GB2312"/>
                <w:color w:val="000000" w:themeColor="text1"/>
                <w:lang w:eastAsia="zh-CN"/>
              </w:rPr>
            </w:pPr>
          </w:p>
        </w:tc>
      </w:tr>
      <w:tr w:rsidR="000F279F" w:rsidTr="004907D1">
        <w:trPr>
          <w:trHeight w:val="355"/>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8</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储备资本要求</w:t>
            </w:r>
            <w:r w:rsidRPr="00142086">
              <w:rPr>
                <w:rFonts w:ascii="仿宋_GB2312" w:eastAsia="仿宋_GB2312" w:hAnsi="仿宋_GB2312" w:cs="仿宋_GB2312"/>
                <w:color w:val="000000" w:themeColor="text1"/>
                <w:lang w:eastAsia="zh-CN"/>
              </w:rPr>
              <w:t>（%）</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2.50</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2.50</w:t>
            </w:r>
          </w:p>
        </w:tc>
      </w:tr>
      <w:tr w:rsidR="000F279F" w:rsidTr="004907D1">
        <w:trPr>
          <w:trHeight w:val="330"/>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9</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逆周期资本要求（</w:t>
            </w:r>
            <w:r w:rsidRPr="00142086">
              <w:rPr>
                <w:rFonts w:ascii="仿宋_GB2312" w:eastAsia="仿宋_GB2312" w:hAnsi="仿宋_GB2312" w:cs="仿宋_GB2312"/>
                <w:color w:val="000000" w:themeColor="text1"/>
              </w:rPr>
              <w:t>%）</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0.00</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0.00</w:t>
            </w:r>
          </w:p>
        </w:tc>
      </w:tr>
      <w:tr w:rsidR="000F279F" w:rsidTr="004907D1">
        <w:trPr>
          <w:trHeight w:val="1456"/>
        </w:trPr>
        <w:tc>
          <w:tcPr>
            <w:tcW w:w="617" w:type="dxa"/>
            <w:vAlign w:val="center"/>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10</w:t>
            </w:r>
          </w:p>
        </w:tc>
        <w:tc>
          <w:tcPr>
            <w:tcW w:w="4223" w:type="dxa"/>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全球系统重要性银行或国内系统重要性银行附加资本要求（</w:t>
            </w:r>
            <w:r w:rsidRPr="00142086">
              <w:rPr>
                <w:rFonts w:ascii="仿宋_GB2312" w:eastAsia="仿宋_GB2312" w:hAnsi="仿宋_GB2312" w:cs="仿宋_GB2312"/>
                <w:color w:val="000000" w:themeColor="text1"/>
                <w:lang w:eastAsia="zh-CN"/>
              </w:rPr>
              <w:t>%）</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w:t>
            </w:r>
          </w:p>
        </w:tc>
      </w:tr>
      <w:tr w:rsidR="000F279F" w:rsidTr="004907D1">
        <w:trPr>
          <w:trHeight w:val="351"/>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11</w:t>
            </w:r>
          </w:p>
        </w:tc>
        <w:tc>
          <w:tcPr>
            <w:tcW w:w="4223" w:type="dxa"/>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其他各级资本要求（</w:t>
            </w:r>
            <w:r w:rsidRPr="00142086">
              <w:rPr>
                <w:rFonts w:ascii="仿宋_GB2312" w:eastAsia="仿宋_GB2312" w:hAnsi="仿宋_GB2312" w:cs="仿宋_GB2312"/>
                <w:color w:val="000000" w:themeColor="text1"/>
                <w:lang w:eastAsia="zh-CN"/>
              </w:rPr>
              <w:t>%）（8+9+10）</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2.50</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2.50</w:t>
            </w:r>
          </w:p>
        </w:tc>
      </w:tr>
      <w:tr w:rsidR="000F279F" w:rsidTr="004907D1">
        <w:trPr>
          <w:trHeight w:val="389"/>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lastRenderedPageBreak/>
              <w:t>12</w:t>
            </w:r>
          </w:p>
        </w:tc>
        <w:tc>
          <w:tcPr>
            <w:tcW w:w="4223" w:type="dxa"/>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满足最低资本要求后的可用核心一级资本净额占风险加权资产的比例（</w:t>
            </w:r>
            <w:r w:rsidRPr="00142086">
              <w:rPr>
                <w:rFonts w:ascii="仿宋_GB2312" w:eastAsia="仿宋_GB2312" w:hAnsi="仿宋_GB2312" w:cs="仿宋_GB2312"/>
                <w:color w:val="000000" w:themeColor="text1"/>
                <w:lang w:eastAsia="zh-CN"/>
              </w:rPr>
              <w:t>%）</w:t>
            </w:r>
          </w:p>
        </w:tc>
        <w:tc>
          <w:tcPr>
            <w:tcW w:w="1789" w:type="dxa"/>
            <w:vAlign w:val="center"/>
          </w:tcPr>
          <w:p w:rsidR="000F279F" w:rsidRPr="00142086" w:rsidRDefault="000F279F" w:rsidP="002278CA">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4.</w:t>
            </w:r>
            <w:r w:rsidR="002278CA">
              <w:rPr>
                <w:rFonts w:ascii="仿宋_GB2312" w:eastAsia="仿宋_GB2312" w:hAnsi="仿宋_GB2312" w:cs="仿宋_GB2312" w:hint="eastAsia"/>
                <w:color w:val="000000" w:themeColor="text1"/>
                <w:lang w:eastAsia="zh-CN"/>
              </w:rPr>
              <w:t>88</w:t>
            </w:r>
          </w:p>
        </w:tc>
        <w:tc>
          <w:tcPr>
            <w:tcW w:w="1893" w:type="dxa"/>
            <w:vAlign w:val="center"/>
          </w:tcPr>
          <w:p w:rsidR="000F279F" w:rsidRPr="00EE728F"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4.61</w:t>
            </w:r>
          </w:p>
        </w:tc>
      </w:tr>
      <w:tr w:rsidR="000F279F" w:rsidTr="004907D1">
        <w:trPr>
          <w:trHeight w:val="330"/>
        </w:trPr>
        <w:tc>
          <w:tcPr>
            <w:tcW w:w="6629" w:type="dxa"/>
            <w:gridSpan w:val="3"/>
            <w:shd w:val="clear" w:color="auto" w:fill="A9A9A9"/>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杠杆率</w:t>
            </w:r>
          </w:p>
        </w:tc>
        <w:tc>
          <w:tcPr>
            <w:tcW w:w="1893" w:type="dxa"/>
            <w:shd w:val="clear" w:color="auto" w:fill="A9A9A9"/>
          </w:tcPr>
          <w:p w:rsidR="000F279F" w:rsidRPr="00EE728F" w:rsidRDefault="000F279F" w:rsidP="004907D1">
            <w:pPr>
              <w:snapToGrid w:val="0"/>
              <w:spacing w:line="480" w:lineRule="exact"/>
              <w:jc w:val="right"/>
              <w:rPr>
                <w:rFonts w:ascii="仿宋_GB2312" w:eastAsia="仿宋_GB2312" w:hAnsi="仿宋_GB2312" w:cs="仿宋_GB2312"/>
                <w:color w:val="000000" w:themeColor="text1"/>
                <w:lang w:eastAsia="zh-CN"/>
              </w:rPr>
            </w:pPr>
          </w:p>
        </w:tc>
      </w:tr>
      <w:tr w:rsidR="000F279F" w:rsidTr="004907D1">
        <w:trPr>
          <w:trHeight w:val="330"/>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13</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调整后表内外资产余额</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w:t>
            </w:r>
            <w:r w:rsidR="002278CA" w:rsidRPr="002278CA">
              <w:rPr>
                <w:rFonts w:ascii="仿宋_GB2312" w:eastAsia="仿宋_GB2312" w:hAnsi="仿宋_GB2312" w:cs="仿宋_GB2312"/>
                <w:color w:val="000000" w:themeColor="text1"/>
                <w:lang w:eastAsia="zh-CN"/>
              </w:rPr>
              <w:t>3674389.29</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3589570.67</w:t>
            </w:r>
          </w:p>
        </w:tc>
      </w:tr>
      <w:tr w:rsidR="000F279F" w:rsidTr="004907D1">
        <w:trPr>
          <w:trHeight w:val="330"/>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14</w:t>
            </w:r>
          </w:p>
        </w:tc>
        <w:tc>
          <w:tcPr>
            <w:tcW w:w="4223" w:type="dxa"/>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杠杆率（</w:t>
            </w:r>
            <w:r w:rsidRPr="00142086">
              <w:rPr>
                <w:rFonts w:ascii="仿宋_GB2312" w:eastAsia="仿宋_GB2312" w:hAnsi="仿宋_GB2312" w:cs="仿宋_GB2312"/>
                <w:color w:val="000000" w:themeColor="text1"/>
                <w:lang w:eastAsia="zh-CN"/>
              </w:rPr>
              <w:t>%）</w:t>
            </w:r>
          </w:p>
        </w:tc>
        <w:tc>
          <w:tcPr>
            <w:tcW w:w="1789" w:type="dxa"/>
            <w:vAlign w:val="center"/>
          </w:tcPr>
          <w:p w:rsidR="000F279F" w:rsidRPr="00142086" w:rsidRDefault="000F279F" w:rsidP="002278CA">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6.</w:t>
            </w:r>
            <w:r w:rsidR="002278CA">
              <w:rPr>
                <w:rFonts w:ascii="仿宋_GB2312" w:eastAsia="仿宋_GB2312" w:hAnsi="仿宋_GB2312" w:cs="仿宋_GB2312" w:hint="eastAsia"/>
                <w:color w:val="000000" w:themeColor="text1"/>
                <w:lang w:eastAsia="zh-CN"/>
              </w:rPr>
              <w:t>94</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6.67</w:t>
            </w:r>
          </w:p>
        </w:tc>
      </w:tr>
      <w:tr w:rsidR="000F279F" w:rsidTr="004907D1">
        <w:trPr>
          <w:trHeight w:val="421"/>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color w:val="000000" w:themeColor="text1"/>
              </w:rPr>
              <w:t>14</w:t>
            </w:r>
            <w:r w:rsidRPr="00142086">
              <w:rPr>
                <w:rFonts w:ascii="仿宋_GB2312" w:eastAsia="仿宋_GB2312" w:hAnsi="仿宋_GB2312" w:cs="仿宋_GB2312" w:hint="eastAsia"/>
                <w:color w:val="000000" w:themeColor="text1"/>
                <w:lang w:eastAsia="zh-CN"/>
              </w:rPr>
              <w:t>a</w:t>
            </w:r>
          </w:p>
        </w:tc>
        <w:tc>
          <w:tcPr>
            <w:tcW w:w="4223" w:type="dxa"/>
            <w:vAlign w:val="center"/>
          </w:tcPr>
          <w:p w:rsidR="000F279F" w:rsidRPr="00142086" w:rsidRDefault="000F279F" w:rsidP="004907D1">
            <w:pPr>
              <w:snapToGrid w:val="0"/>
              <w:spacing w:line="480" w:lineRule="exact"/>
              <w:jc w:val="both"/>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杠杆率</w:t>
            </w:r>
            <w:r w:rsidRPr="00142086">
              <w:rPr>
                <w:rFonts w:ascii="仿宋_GB2312" w:eastAsia="仿宋_GB2312" w:hAnsi="仿宋_GB2312" w:cs="仿宋_GB2312"/>
                <w:color w:val="000000" w:themeColor="text1"/>
                <w:lang w:eastAsia="zh-CN"/>
              </w:rPr>
              <w:t>a</w:t>
            </w:r>
            <w:r w:rsidRPr="00142086">
              <w:rPr>
                <w:rFonts w:ascii="仿宋_GB2312" w:eastAsia="仿宋_GB2312" w:hAnsi="仿宋_GB2312" w:cs="仿宋_GB2312" w:hint="eastAsia"/>
                <w:color w:val="000000" w:themeColor="text1"/>
                <w:lang w:eastAsia="zh-CN"/>
              </w:rPr>
              <w:t>（</w:t>
            </w:r>
            <w:r w:rsidRPr="00142086">
              <w:rPr>
                <w:rFonts w:ascii="仿宋_GB2312" w:eastAsia="仿宋_GB2312" w:hAnsi="仿宋_GB2312" w:cs="仿宋_GB2312"/>
                <w:color w:val="000000" w:themeColor="text1"/>
                <w:lang w:eastAsia="zh-CN"/>
              </w:rPr>
              <w:t>%）</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6.</w:t>
            </w:r>
            <w:r w:rsidR="002278CA">
              <w:rPr>
                <w:rFonts w:ascii="仿宋_GB2312" w:eastAsia="仿宋_GB2312" w:hAnsi="仿宋_GB2312" w:cs="仿宋_GB2312" w:hint="eastAsia"/>
                <w:color w:val="000000" w:themeColor="text1"/>
                <w:lang w:eastAsia="zh-CN"/>
              </w:rPr>
              <w:t>94</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6.67</w:t>
            </w:r>
          </w:p>
        </w:tc>
      </w:tr>
      <w:tr w:rsidR="000F279F" w:rsidTr="004907D1">
        <w:trPr>
          <w:trHeight w:val="563"/>
        </w:trPr>
        <w:tc>
          <w:tcPr>
            <w:tcW w:w="6629" w:type="dxa"/>
            <w:gridSpan w:val="3"/>
            <w:shd w:val="clear" w:color="auto" w:fill="A9A9A9"/>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流动性覆盖率</w:t>
            </w:r>
          </w:p>
        </w:tc>
        <w:tc>
          <w:tcPr>
            <w:tcW w:w="1893" w:type="dxa"/>
            <w:shd w:val="clear" w:color="auto" w:fill="A9A9A9"/>
          </w:tcPr>
          <w:p w:rsidR="000F279F" w:rsidRPr="00EE728F" w:rsidRDefault="000F279F" w:rsidP="004907D1">
            <w:pPr>
              <w:snapToGrid w:val="0"/>
              <w:spacing w:line="480" w:lineRule="exact"/>
              <w:jc w:val="right"/>
              <w:rPr>
                <w:rFonts w:ascii="仿宋_GB2312" w:eastAsia="仿宋_GB2312" w:hAnsi="仿宋_GB2312" w:cs="仿宋_GB2312"/>
                <w:color w:val="000000" w:themeColor="text1"/>
                <w:lang w:eastAsia="zh-CN"/>
              </w:rPr>
            </w:pPr>
          </w:p>
        </w:tc>
      </w:tr>
      <w:tr w:rsidR="000F279F" w:rsidTr="004907D1">
        <w:trPr>
          <w:trHeight w:val="563"/>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15</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合格优质流动性资产</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c>
          <w:tcPr>
            <w:tcW w:w="1893" w:type="dxa"/>
            <w:vAlign w:val="center"/>
          </w:tcPr>
          <w:p w:rsidR="000F279F" w:rsidRPr="00EE728F" w:rsidRDefault="000F279F" w:rsidP="004907D1">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不适用</w:t>
            </w:r>
          </w:p>
        </w:tc>
      </w:tr>
      <w:tr w:rsidR="000F279F" w:rsidTr="004907D1">
        <w:trPr>
          <w:trHeight w:val="330"/>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16</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现金净流出</w:t>
            </w:r>
            <w:r w:rsidRPr="00142086">
              <w:rPr>
                <w:rFonts w:ascii="仿宋_GB2312" w:eastAsia="仿宋_GB2312" w:hAnsi="仿宋_GB2312" w:cs="仿宋_GB2312" w:hint="eastAsia"/>
                <w:color w:val="000000" w:themeColor="text1"/>
                <w:lang w:eastAsia="zh-CN"/>
              </w:rPr>
              <w:t>量</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不适用</w:t>
            </w:r>
          </w:p>
        </w:tc>
        <w:tc>
          <w:tcPr>
            <w:tcW w:w="1893" w:type="dxa"/>
            <w:vAlign w:val="center"/>
          </w:tcPr>
          <w:p w:rsidR="000F279F" w:rsidRPr="00EE728F" w:rsidRDefault="000F279F" w:rsidP="004907D1">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不适用</w:t>
            </w:r>
          </w:p>
        </w:tc>
      </w:tr>
      <w:tr w:rsidR="000F279F" w:rsidTr="004907D1">
        <w:trPr>
          <w:trHeight w:val="330"/>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17</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流动性覆盖率（</w:t>
            </w:r>
            <w:r w:rsidRPr="00142086">
              <w:rPr>
                <w:rFonts w:ascii="仿宋_GB2312" w:eastAsia="仿宋_GB2312" w:hAnsi="仿宋_GB2312" w:cs="仿宋_GB2312"/>
                <w:color w:val="000000" w:themeColor="text1"/>
                <w:lang w:eastAsia="zh-CN"/>
              </w:rPr>
              <w:t>%）</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c>
          <w:tcPr>
            <w:tcW w:w="1893" w:type="dxa"/>
            <w:vAlign w:val="center"/>
          </w:tcPr>
          <w:p w:rsidR="000F279F" w:rsidRPr="00EE728F" w:rsidRDefault="000F279F" w:rsidP="004907D1">
            <w:pPr>
              <w:snapToGrid w:val="0"/>
              <w:spacing w:line="480" w:lineRule="exact"/>
              <w:jc w:val="right"/>
              <w:rPr>
                <w:rFonts w:ascii="仿宋_GB2312" w:eastAsia="仿宋_GB2312" w:hAnsi="仿宋_GB2312" w:cs="仿宋_GB2312"/>
                <w:color w:val="000000" w:themeColor="text1"/>
                <w:lang w:eastAsia="zh-CN"/>
              </w:rPr>
            </w:pPr>
            <w:r w:rsidRPr="00EE728F">
              <w:rPr>
                <w:rFonts w:ascii="仿宋_GB2312" w:eastAsia="仿宋_GB2312" w:hAnsi="仿宋_GB2312" w:cs="仿宋_GB2312" w:hint="eastAsia"/>
                <w:color w:val="000000" w:themeColor="text1"/>
                <w:lang w:eastAsia="zh-CN"/>
              </w:rPr>
              <w:t xml:space="preserve">　不适用</w:t>
            </w:r>
          </w:p>
        </w:tc>
      </w:tr>
      <w:tr w:rsidR="000F279F" w:rsidTr="004907D1">
        <w:trPr>
          <w:trHeight w:val="330"/>
        </w:trPr>
        <w:tc>
          <w:tcPr>
            <w:tcW w:w="6629" w:type="dxa"/>
            <w:gridSpan w:val="3"/>
            <w:shd w:val="clear" w:color="auto" w:fill="A9A9A9"/>
          </w:tcPr>
          <w:p w:rsidR="000F279F" w:rsidRPr="00142086" w:rsidRDefault="000F279F" w:rsidP="004907D1">
            <w:pPr>
              <w:snapToGrid w:val="0"/>
              <w:spacing w:line="480" w:lineRule="exact"/>
              <w:rPr>
                <w:rFonts w:ascii="仿宋_GB2312" w:eastAsia="仿宋_GB2312" w:hAnsi="仿宋_GB2312" w:cs="仿宋_GB2312"/>
                <w:color w:val="000000" w:themeColor="text1"/>
              </w:rPr>
            </w:pPr>
            <w:r w:rsidRPr="00142086">
              <w:rPr>
                <w:rFonts w:ascii="仿宋_GB2312" w:eastAsia="仿宋_GB2312" w:hAnsi="仿宋_GB2312" w:cs="仿宋_GB2312" w:hint="eastAsia"/>
                <w:b/>
                <w:bCs/>
                <w:color w:val="000000" w:themeColor="text1"/>
                <w:lang w:eastAsia="zh-CN"/>
              </w:rPr>
              <w:t>净稳定资金比例</w:t>
            </w:r>
          </w:p>
        </w:tc>
        <w:tc>
          <w:tcPr>
            <w:tcW w:w="1893" w:type="dxa"/>
            <w:shd w:val="clear" w:color="auto" w:fill="A9A9A9"/>
          </w:tcPr>
          <w:p w:rsidR="000F279F" w:rsidRPr="00EE728F" w:rsidRDefault="000F279F" w:rsidP="004907D1">
            <w:pPr>
              <w:snapToGrid w:val="0"/>
              <w:spacing w:line="480" w:lineRule="exact"/>
              <w:jc w:val="right"/>
              <w:rPr>
                <w:rFonts w:ascii="仿宋_GB2312" w:eastAsia="仿宋_GB2312" w:hAnsi="仿宋_GB2312" w:cs="仿宋_GB2312"/>
                <w:color w:val="000000" w:themeColor="text1"/>
                <w:lang w:eastAsia="zh-CN"/>
              </w:rPr>
            </w:pPr>
          </w:p>
        </w:tc>
      </w:tr>
      <w:tr w:rsidR="000F279F" w:rsidTr="004907D1">
        <w:trPr>
          <w:trHeight w:val="330"/>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18</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可用稳定资金</w:t>
            </w:r>
            <w:r w:rsidRPr="00142086">
              <w:rPr>
                <w:rFonts w:ascii="仿宋_GB2312" w:eastAsia="仿宋_GB2312" w:hAnsi="仿宋_GB2312" w:cs="仿宋_GB2312" w:hint="eastAsia"/>
                <w:color w:val="000000" w:themeColor="text1"/>
                <w:lang w:eastAsia="zh-CN"/>
              </w:rPr>
              <w:t>合计</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r>
      <w:tr w:rsidR="000F279F" w:rsidTr="004907D1">
        <w:trPr>
          <w:trHeight w:val="330"/>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19</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lang w:eastAsia="zh-CN"/>
              </w:rPr>
              <w:t>所需</w:t>
            </w:r>
            <w:r w:rsidRPr="00142086">
              <w:rPr>
                <w:rFonts w:ascii="仿宋_GB2312" w:eastAsia="仿宋_GB2312" w:hAnsi="仿宋_GB2312" w:cs="仿宋_GB2312" w:hint="eastAsia"/>
                <w:color w:val="000000" w:themeColor="text1"/>
              </w:rPr>
              <w:t>稳定资金</w:t>
            </w:r>
            <w:r w:rsidRPr="00142086">
              <w:rPr>
                <w:rFonts w:ascii="仿宋_GB2312" w:eastAsia="仿宋_GB2312" w:hAnsi="仿宋_GB2312" w:cs="仿宋_GB2312" w:hint="eastAsia"/>
                <w:color w:val="000000" w:themeColor="text1"/>
                <w:lang w:eastAsia="zh-CN"/>
              </w:rPr>
              <w:t>合计</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rPr>
            </w:pPr>
            <w:r w:rsidRPr="00142086">
              <w:rPr>
                <w:rFonts w:ascii="仿宋_GB2312" w:eastAsia="仿宋_GB2312" w:hAnsi="仿宋_GB2312" w:cs="仿宋_GB2312" w:hint="eastAsia"/>
                <w:color w:val="000000" w:themeColor="text1"/>
              </w:rPr>
              <w:t xml:space="preserve">　</w:t>
            </w:r>
            <w:r w:rsidRPr="00142086">
              <w:rPr>
                <w:rFonts w:ascii="仿宋_GB2312" w:eastAsia="仿宋_GB2312" w:hAnsi="仿宋_GB2312" w:cs="仿宋_GB2312" w:hint="eastAsia"/>
                <w:color w:val="000000" w:themeColor="text1"/>
                <w:lang w:eastAsia="zh-CN"/>
              </w:rPr>
              <w:t>不适用</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r>
      <w:tr w:rsidR="000F279F" w:rsidTr="004907D1">
        <w:trPr>
          <w:trHeight w:val="330"/>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rPr>
            </w:pPr>
            <w:r w:rsidRPr="00142086">
              <w:rPr>
                <w:rFonts w:ascii="仿宋_GB2312" w:eastAsia="仿宋_GB2312" w:hAnsi="仿宋_GB2312" w:cs="仿宋_GB2312"/>
                <w:color w:val="000000" w:themeColor="text1"/>
              </w:rPr>
              <w:t>20</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净稳定资金比例（</w:t>
            </w:r>
            <w:r w:rsidRPr="00142086">
              <w:rPr>
                <w:rFonts w:ascii="仿宋_GB2312" w:eastAsia="仿宋_GB2312" w:hAnsi="仿宋_GB2312" w:cs="仿宋_GB2312"/>
                <w:color w:val="000000" w:themeColor="text1"/>
                <w:lang w:eastAsia="zh-CN"/>
              </w:rPr>
              <w:t>%）</w:t>
            </w:r>
          </w:p>
        </w:tc>
        <w:tc>
          <w:tcPr>
            <w:tcW w:w="1789"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c>
          <w:tcPr>
            <w:tcW w:w="1893" w:type="dxa"/>
            <w:vAlign w:val="center"/>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 xml:space="preserve">　不适用</w:t>
            </w:r>
          </w:p>
        </w:tc>
      </w:tr>
      <w:tr w:rsidR="000F279F" w:rsidTr="004907D1">
        <w:trPr>
          <w:trHeight w:val="330"/>
        </w:trPr>
        <w:tc>
          <w:tcPr>
            <w:tcW w:w="6629" w:type="dxa"/>
            <w:gridSpan w:val="3"/>
            <w:shd w:val="clear" w:color="auto" w:fill="A9A9A9"/>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b/>
                <w:bCs/>
                <w:color w:val="000000" w:themeColor="text1"/>
                <w:lang w:eastAsia="zh-CN"/>
              </w:rPr>
              <w:t>流动性比例</w:t>
            </w:r>
          </w:p>
        </w:tc>
        <w:tc>
          <w:tcPr>
            <w:tcW w:w="1893" w:type="dxa"/>
            <w:shd w:val="clear" w:color="auto" w:fill="A9A9A9"/>
          </w:tcPr>
          <w:p w:rsidR="000F279F" w:rsidRPr="00EE728F" w:rsidRDefault="000F279F" w:rsidP="004907D1">
            <w:pPr>
              <w:snapToGrid w:val="0"/>
              <w:spacing w:line="480" w:lineRule="exact"/>
              <w:jc w:val="right"/>
              <w:rPr>
                <w:rFonts w:ascii="仿宋_GB2312" w:eastAsia="仿宋_GB2312" w:hAnsi="仿宋_GB2312" w:cs="仿宋_GB2312"/>
                <w:color w:val="000000" w:themeColor="text1"/>
                <w:lang w:eastAsia="zh-CN"/>
              </w:rPr>
            </w:pPr>
          </w:p>
        </w:tc>
      </w:tr>
      <w:tr w:rsidR="000F279F" w:rsidTr="004907D1">
        <w:trPr>
          <w:trHeight w:val="330"/>
        </w:trPr>
        <w:tc>
          <w:tcPr>
            <w:tcW w:w="617" w:type="dxa"/>
          </w:tcPr>
          <w:p w:rsidR="000F279F" w:rsidRPr="00142086" w:rsidRDefault="000F279F" w:rsidP="004907D1">
            <w:pPr>
              <w:snapToGrid w:val="0"/>
              <w:spacing w:line="480" w:lineRule="exact"/>
              <w:jc w:val="center"/>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21</w:t>
            </w:r>
          </w:p>
        </w:tc>
        <w:tc>
          <w:tcPr>
            <w:tcW w:w="4223" w:type="dxa"/>
            <w:vAlign w:val="center"/>
          </w:tcPr>
          <w:p w:rsidR="000F279F" w:rsidRPr="00142086" w:rsidRDefault="000F279F" w:rsidP="004907D1">
            <w:pPr>
              <w:snapToGrid w:val="0"/>
              <w:spacing w:line="480" w:lineRule="exac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流动性比例（%）</w:t>
            </w:r>
          </w:p>
        </w:tc>
        <w:tc>
          <w:tcPr>
            <w:tcW w:w="1789" w:type="dxa"/>
            <w:vAlign w:val="center"/>
          </w:tcPr>
          <w:p w:rsidR="000F279F" w:rsidRPr="00142086" w:rsidRDefault="002278CA" w:rsidP="004907D1">
            <w:pPr>
              <w:snapToGrid w:val="0"/>
              <w:spacing w:line="480" w:lineRule="exact"/>
              <w:jc w:val="right"/>
              <w:rPr>
                <w:rFonts w:ascii="仿宋_GB2312" w:eastAsia="仿宋_GB2312" w:hAnsi="仿宋_GB2312" w:cs="仿宋_GB2312"/>
                <w:color w:val="000000" w:themeColor="text1"/>
                <w:lang w:eastAsia="zh-CN"/>
              </w:rPr>
            </w:pPr>
            <w:r>
              <w:rPr>
                <w:rFonts w:ascii="仿宋_GB2312" w:eastAsia="仿宋_GB2312" w:hAnsi="仿宋_GB2312" w:cs="仿宋_GB2312" w:hint="eastAsia"/>
                <w:color w:val="000000" w:themeColor="text1"/>
                <w:lang w:eastAsia="zh-CN"/>
              </w:rPr>
              <w:t>80.25</w:t>
            </w:r>
          </w:p>
        </w:tc>
        <w:tc>
          <w:tcPr>
            <w:tcW w:w="1893" w:type="dxa"/>
          </w:tcPr>
          <w:p w:rsidR="000F279F" w:rsidRPr="00142086" w:rsidRDefault="000F279F" w:rsidP="004907D1">
            <w:pPr>
              <w:snapToGrid w:val="0"/>
              <w:spacing w:line="480" w:lineRule="exact"/>
              <w:jc w:val="right"/>
              <w:rPr>
                <w:rFonts w:ascii="仿宋_GB2312" w:eastAsia="仿宋_GB2312" w:hAnsi="仿宋_GB2312" w:cs="仿宋_GB2312"/>
                <w:color w:val="000000" w:themeColor="text1"/>
                <w:lang w:eastAsia="zh-CN"/>
              </w:rPr>
            </w:pPr>
            <w:r w:rsidRPr="00142086">
              <w:rPr>
                <w:rFonts w:ascii="仿宋_GB2312" w:eastAsia="仿宋_GB2312" w:hAnsi="仿宋_GB2312" w:cs="仿宋_GB2312" w:hint="eastAsia"/>
                <w:color w:val="000000" w:themeColor="text1"/>
                <w:lang w:eastAsia="zh-CN"/>
              </w:rPr>
              <w:t>63.36</w:t>
            </w:r>
          </w:p>
        </w:tc>
      </w:tr>
    </w:tbl>
    <w:p w:rsidR="000376BC" w:rsidRDefault="000376BC">
      <w:pPr>
        <w:spacing w:line="520" w:lineRule="exact"/>
        <w:rPr>
          <w:rFonts w:ascii="仿宋" w:eastAsia="仿宋" w:hAnsi="仿宋" w:cs="仿宋"/>
          <w:sz w:val="30"/>
          <w:szCs w:val="30"/>
        </w:rPr>
      </w:pPr>
    </w:p>
    <w:p w:rsidR="000376BC" w:rsidRDefault="000376BC">
      <w:pPr>
        <w:spacing w:line="520" w:lineRule="exact"/>
        <w:rPr>
          <w:rFonts w:ascii="仿宋" w:eastAsia="仿宋" w:hAnsi="仿宋" w:cs="仿宋"/>
          <w:sz w:val="30"/>
          <w:szCs w:val="30"/>
        </w:rPr>
      </w:pPr>
    </w:p>
    <w:p w:rsidR="000376BC" w:rsidRDefault="000376BC">
      <w:pPr>
        <w:spacing w:line="520" w:lineRule="exact"/>
        <w:rPr>
          <w:rFonts w:ascii="仿宋" w:eastAsia="仿宋" w:hAnsi="仿宋" w:cs="仿宋"/>
          <w:sz w:val="30"/>
          <w:szCs w:val="30"/>
        </w:rPr>
      </w:pPr>
    </w:p>
    <w:p w:rsidR="000376BC" w:rsidRDefault="000376BC">
      <w:pPr>
        <w:rPr>
          <w:rFonts w:ascii="仿宋" w:eastAsia="仿宋" w:hAnsi="仿宋" w:cs="仿宋"/>
          <w:sz w:val="30"/>
          <w:szCs w:val="30"/>
        </w:rPr>
      </w:pPr>
    </w:p>
    <w:sectPr w:rsidR="000376BC" w:rsidSect="00037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9A4" w:rsidRDefault="002279A4" w:rsidP="00260455">
      <w:r>
        <w:separator/>
      </w:r>
    </w:p>
  </w:endnote>
  <w:endnote w:type="continuationSeparator" w:id="1">
    <w:p w:rsidR="002279A4" w:rsidRDefault="002279A4" w:rsidP="00260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9A4" w:rsidRDefault="002279A4" w:rsidP="00260455">
      <w:r>
        <w:separator/>
      </w:r>
    </w:p>
  </w:footnote>
  <w:footnote w:type="continuationSeparator" w:id="1">
    <w:p w:rsidR="002279A4" w:rsidRDefault="002279A4" w:rsidP="00260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04D774"/>
    <w:multiLevelType w:val="singleLevel"/>
    <w:tmpl w:val="8D04D77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JkZTJlZjViZjViNWY0ZTAyNmJlNDc2ZmU4N2Q0MzUifQ=="/>
  </w:docVars>
  <w:rsids>
    <w:rsidRoot w:val="01891C69"/>
    <w:rsid w:val="000376BC"/>
    <w:rsid w:val="0004702C"/>
    <w:rsid w:val="00076177"/>
    <w:rsid w:val="000F279F"/>
    <w:rsid w:val="001830AF"/>
    <w:rsid w:val="001C1C3E"/>
    <w:rsid w:val="002278CA"/>
    <w:rsid w:val="002279A4"/>
    <w:rsid w:val="00260455"/>
    <w:rsid w:val="00352570"/>
    <w:rsid w:val="003B3F48"/>
    <w:rsid w:val="00A206C6"/>
    <w:rsid w:val="00CB3BBE"/>
    <w:rsid w:val="00D70008"/>
    <w:rsid w:val="01891C69"/>
    <w:rsid w:val="553C7B89"/>
    <w:rsid w:val="65297903"/>
    <w:rsid w:val="796D0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6BC"/>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376BC"/>
    <w:pPr>
      <w:tabs>
        <w:tab w:val="center" w:pos="4153"/>
        <w:tab w:val="right" w:pos="8306"/>
      </w:tabs>
      <w:snapToGrid w:val="0"/>
    </w:pPr>
    <w:rPr>
      <w:sz w:val="18"/>
      <w:szCs w:val="18"/>
    </w:rPr>
  </w:style>
  <w:style w:type="paragraph" w:styleId="a4">
    <w:name w:val="header"/>
    <w:basedOn w:val="a"/>
    <w:link w:val="Char0"/>
    <w:qFormat/>
    <w:rsid w:val="000376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0376BC"/>
    <w:rPr>
      <w:sz w:val="18"/>
      <w:szCs w:val="18"/>
      <w:lang w:eastAsia="en-US"/>
    </w:rPr>
  </w:style>
  <w:style w:type="character" w:customStyle="1" w:styleId="Char">
    <w:name w:val="页脚 Char"/>
    <w:basedOn w:val="a0"/>
    <w:link w:val="a3"/>
    <w:qFormat/>
    <w:rsid w:val="000376BC"/>
    <w:rPr>
      <w:sz w:val="18"/>
      <w:szCs w:val="18"/>
      <w:lang w:eastAsia="en-US"/>
    </w:rPr>
  </w:style>
  <w:style w:type="paragraph" w:styleId="a5">
    <w:name w:val="List Paragraph"/>
    <w:basedOn w:val="a"/>
    <w:uiPriority w:val="99"/>
    <w:unhideWhenUsed/>
    <w:rsid w:val="000F279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139</Words>
  <Characters>794</Characters>
  <Application>Microsoft Office Word</Application>
  <DocSecurity>0</DocSecurity>
  <Lines>6</Lines>
  <Paragraphs>1</Paragraphs>
  <ScaleCrop>false</ScaleCrop>
  <Company>Microsoft</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诺一欢儿...</dc:creator>
  <cp:lastModifiedBy>王焕</cp:lastModifiedBy>
  <cp:revision>5</cp:revision>
  <dcterms:created xsi:type="dcterms:W3CDTF">2024-06-13T09:06:00Z</dcterms:created>
  <dcterms:modified xsi:type="dcterms:W3CDTF">2024-10-15T09:35:00Z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A12A4CF65D8045F1A87747636D386309_11</vt:lpwstr>
  </property>
</Properties>
</file>