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hint="eastAsia" w:ascii="宋体" w:hAnsi="宋体"/>
          <w:b/>
          <w:bCs/>
          <w:sz w:val="48"/>
          <w:szCs w:val="30"/>
        </w:rPr>
        <w:t>普陀农商行丰收信福2020年第62期封闭式净值型理财产品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2021年半年度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产品管理人：浙江舟山普陀农村商业银行股份有限公司</w:t>
      </w:r>
    </w:p>
    <w:p>
      <w:pPr>
        <w:ind w:firstLine="1687" w:firstLineChars="600"/>
        <w:jc w:val="left"/>
        <w:rPr>
          <w:rFonts w:ascii="宋体" w:hAnsi="宋体"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</w:t>
      </w:r>
      <w:r>
        <w:rPr>
          <w:rFonts w:hint="eastAsia" w:ascii="宋体" w:hAnsi="宋体"/>
          <w:b/>
          <w:bCs/>
          <w:sz w:val="28"/>
          <w:szCs w:val="30"/>
        </w:rPr>
        <w:t>招商银行股份有限公司杭州分行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招商银行股份有限公司杭州分行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自2021-01-01起至2021-06-30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普陀农商行丰收信福2020年第62期封闭式净值型理财产品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C1126520000061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浙江舟山普陀农村商业银行股份有限公司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招商银行股份有限公司杭州分行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公募封闭式净值型银行理财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2020-11-02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2021-11-02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4,160,000.00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4.05%/年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2021-01-01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2021-06-30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</w:pPr>
            <w:r>
              <w:t>2.30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</w:pPr>
            <w:r>
              <w:rPr>
                <w:rFonts w:hint="eastAsia"/>
              </w:rPr>
              <w:t>3.15</w:t>
            </w:r>
            <w:bookmarkStart w:id="1" w:name="OLE_LINK4"/>
            <w:bookmarkEnd w:id="1"/>
            <w:bookmarkStart w:id="2" w:name="OLE_LINK7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/>
                <w:b/>
                <w:bCs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2021-01-01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2021-06-30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-4,521.66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96,495.62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4,291,211.76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1.0315</w:t>
            </w:r>
          </w:p>
        </w:tc>
      </w:tr>
    </w:tbl>
    <w:p>
      <w:pPr>
        <w:tabs>
          <w:tab w:val="left" w:pos="3135"/>
        </w:tabs>
        <w:ind w:left="420" w:leftChars="200"/>
      </w:pPr>
    </w:p>
    <w:p>
      <w:pPr>
        <w:pStyle w:val="40"/>
      </w:pPr>
      <w:r>
        <w:rPr>
          <w:rFonts w:hint="eastAsia"/>
        </w:rPr>
        <w:t>投资组合情况及</w:t>
      </w:r>
      <w: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jc w:val="right"/>
      </w:pPr>
    </w:p>
    <w:p>
      <w:pPr>
        <w:jc w:val="right"/>
      </w:pPr>
    </w:p>
    <w:p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4,465,800.39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103.92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4,465,800.39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103.92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25,689.14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4,297,183.97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100.00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110,909.70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2.58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</w:pPr>
            <w:r>
              <w:t>4,297,183.97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</w:pPr>
            <w:r>
              <w:t>100.00</w:t>
            </w:r>
          </w:p>
        </w:tc>
        <w:tc>
          <w:tcPr>
            <w:tcW w:w="1653" w:type="dxa"/>
          </w:tcPr>
          <w:p>
            <w:pPr>
              <w:jc w:val="right"/>
            </w:pPr>
            <w:r>
              <w:t>4,602,399.23</w:t>
            </w:r>
          </w:p>
        </w:tc>
        <w:tc>
          <w:tcPr>
            <w:tcW w:w="1705" w:type="dxa"/>
          </w:tcPr>
          <w:p>
            <w:pPr>
              <w:jc w:val="right"/>
            </w:pPr>
            <w:r>
              <w:t>107.10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Cs w:val="21"/>
        </w:rPr>
        <w:t>注1：间接投资占产品总资产的比例（%）为占本产品总资产的比例（%）。</w:t>
      </w: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Theme="minorEastAsia" w:hAnsiTheme="minorEastAsia" w:eastAsiaTheme="minorEastAsia"/>
          <w:szCs w:val="21"/>
        </w:rPr>
        <w:t>注：由管理人自行补充</w:t>
      </w:r>
    </w:p>
    <w:p>
      <w:pPr>
        <w:widowControl/>
        <w:jc w:val="left"/>
        <w:rPr>
          <w:rFonts w:ascii="宋体" w:hAnsi="宋体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中信证券丰收信益2号集合资产管理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</w:pPr>
            <w:r>
              <w:t>4,297,183.97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</w:pPr>
            <w:bookmarkStart w:id="3" w:name="OLE_LINK6"/>
            <w:bookmarkStart w:id="4" w:name="OLE_LINK5"/>
            <w:r>
              <w:t>100.14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注：前十项资产明细仅包含证券投资、场外投资，不包含银行活期存款、存出保证金、清算备付金、应收利息等资产。</w:t>
      </w: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报告期末占资产净值比例大小排序的前十项资产明细（穿透后）</w:t>
      </w:r>
    </w:p>
    <w:p>
      <w:pPr>
        <w:spacing w:before="100" w:beforeAutospacing="1" w:after="100" w:afterAutospacing="1"/>
        <w:jc w:val="right"/>
      </w:pPr>
      <w:r>
        <w:rPr>
          <w:rFonts w:hint="eastAsia"/>
        </w:rPr>
        <w:t>金额单位：元</w:t>
      </w:r>
    </w:p>
    <w:tbl>
      <w:tblPr>
        <w:tblStyle w:val="17"/>
        <w:tblW w:w="9060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77"/>
        <w:gridCol w:w="3159"/>
        <w:gridCol w:w="2693"/>
        <w:gridCol w:w="243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  <w:jc w:val="center"/>
        </w:trPr>
        <w:tc>
          <w:tcPr>
            <w:tcW w:w="7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jc w:val="center"/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315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jc w:val="left"/>
            </w:pPr>
            <w:r>
              <w:rPr>
                <w:rFonts w:hint="eastAsia"/>
                <w:b/>
                <w:bCs/>
              </w:rPr>
              <w:t>资产名称</w:t>
            </w:r>
          </w:p>
        </w:tc>
        <w:tc>
          <w:tcPr>
            <w:tcW w:w="269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金额</w:t>
            </w:r>
          </w:p>
        </w:tc>
        <w:tc>
          <w:tcPr>
            <w:tcW w:w="243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占产品资产净值比例（%）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1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19柯建02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167,187.82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3.90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2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19邯纾01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144,837.68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3.38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3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20海资G1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142,853.45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3.33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3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20浏城03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142,853.45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3.33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3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20银城02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142,853.45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3.33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4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18凤城河债01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122,770.63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2.86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5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20成华国资MTN001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120,008.80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2.80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6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20大唐Y5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119,044.54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2.77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6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20住总Y1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119,044.54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2.77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6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20襄阳01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119,044.54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2.77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6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21青控01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119,044.54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2.77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7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20寿光G1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118,898.11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2.77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8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20城旅01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116,338.18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2.71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9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20安信G2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96,826.07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2.26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10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20宜春01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96,787.97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2.26</w:t>
            </w:r>
          </w:p>
        </w:tc>
      </w:tr>
    </w:tbl>
    <w:p>
      <w:pPr>
        <w:spacing w:before="100" w:beforeAutospacing="1" w:after="100" w:afterAutospacing="1"/>
      </w:pPr>
      <w:r>
        <w:rPr>
          <w:rFonts w:hint="eastAsia"/>
        </w:rPr>
        <w:t>注：前十项资产明细仅包含证券投资、场外投资，不包含银行活期存款、存出保证金、清算备付金、应收利息等资产。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招商银行具备完善的公司治理结构、内部稽核监控制度和风险控制制度，我行在履行托管职责中，严格遵守有关法律法规、托管协议的规定，尽职尽责地履行托管义务并安全保管托管资产。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jc w:val="left"/>
        <w:rPr>
          <w:rFonts w:asciiTheme="minorEastAsia" w:hAnsiTheme="minorEastAsia" w:eastAsiaTheme="minorEastAsia"/>
          <w:szCs w:val="21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浙江舟山普陀农村商业银行股份有限公司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2021-0</w:t>
      </w:r>
      <w:r>
        <w:rPr>
          <w:rFonts w:hint="eastAsia" w:ascii="宋体" w:hAnsi="宋体"/>
          <w:sz w:val="28"/>
          <w:szCs w:val="28"/>
          <w:lang w:val="en-US" w:eastAsia="zh-CN"/>
        </w:rPr>
        <w:t>7</w:t>
      </w:r>
      <w:bookmarkStart w:id="5" w:name="_GoBack"/>
      <w:bookmarkEnd w:id="5"/>
      <w:r>
        <w:rPr>
          <w:rFonts w:ascii="宋体" w:hAnsi="宋体"/>
          <w:sz w:val="28"/>
          <w:szCs w:val="28"/>
        </w:rPr>
        <w:t>-29</w:t>
      </w: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456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1668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13BD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003A8"/>
    <w:rsid w:val="001178EF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82115"/>
    <w:rsid w:val="0019201F"/>
    <w:rsid w:val="00193840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2D4"/>
    <w:rsid w:val="001E1A37"/>
    <w:rsid w:val="001E27AF"/>
    <w:rsid w:val="001E2A08"/>
    <w:rsid w:val="001E4B7A"/>
    <w:rsid w:val="001E7354"/>
    <w:rsid w:val="001E73F7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7180C"/>
    <w:rsid w:val="00285198"/>
    <w:rsid w:val="0028673C"/>
    <w:rsid w:val="00291837"/>
    <w:rsid w:val="00293CED"/>
    <w:rsid w:val="002A1060"/>
    <w:rsid w:val="002A5581"/>
    <w:rsid w:val="002A6967"/>
    <w:rsid w:val="002B18D0"/>
    <w:rsid w:val="002B1BF7"/>
    <w:rsid w:val="002B2425"/>
    <w:rsid w:val="002B5C75"/>
    <w:rsid w:val="002B6AB0"/>
    <w:rsid w:val="002B6D92"/>
    <w:rsid w:val="002C0D52"/>
    <w:rsid w:val="002D2E99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40F2"/>
    <w:rsid w:val="003170E3"/>
    <w:rsid w:val="003176DF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798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216"/>
    <w:rsid w:val="00415C27"/>
    <w:rsid w:val="004169FD"/>
    <w:rsid w:val="00420876"/>
    <w:rsid w:val="0042283D"/>
    <w:rsid w:val="00430538"/>
    <w:rsid w:val="004332EF"/>
    <w:rsid w:val="00436399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A7E27"/>
    <w:rsid w:val="004B02F2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E5C17"/>
    <w:rsid w:val="004F0ECB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2CD"/>
    <w:rsid w:val="00527A49"/>
    <w:rsid w:val="005310A6"/>
    <w:rsid w:val="0053595B"/>
    <w:rsid w:val="00537901"/>
    <w:rsid w:val="00540DE6"/>
    <w:rsid w:val="00542A91"/>
    <w:rsid w:val="0054387B"/>
    <w:rsid w:val="005465B6"/>
    <w:rsid w:val="00552EA5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50DF"/>
    <w:rsid w:val="005C6300"/>
    <w:rsid w:val="005D0C97"/>
    <w:rsid w:val="005D13A8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4F5A"/>
    <w:rsid w:val="00665902"/>
    <w:rsid w:val="006664D5"/>
    <w:rsid w:val="00667384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55BF"/>
    <w:rsid w:val="00697DB7"/>
    <w:rsid w:val="006A307A"/>
    <w:rsid w:val="006B0B91"/>
    <w:rsid w:val="006B24E7"/>
    <w:rsid w:val="006B554E"/>
    <w:rsid w:val="006B5B87"/>
    <w:rsid w:val="006C21A8"/>
    <w:rsid w:val="006C483B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6F7150"/>
    <w:rsid w:val="00710788"/>
    <w:rsid w:val="00710F9C"/>
    <w:rsid w:val="00711860"/>
    <w:rsid w:val="00714D1B"/>
    <w:rsid w:val="00717029"/>
    <w:rsid w:val="00720312"/>
    <w:rsid w:val="0072202C"/>
    <w:rsid w:val="0072288E"/>
    <w:rsid w:val="00730BF8"/>
    <w:rsid w:val="007313AE"/>
    <w:rsid w:val="00735E33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1A28"/>
    <w:rsid w:val="00762F4A"/>
    <w:rsid w:val="007633CA"/>
    <w:rsid w:val="007663F0"/>
    <w:rsid w:val="00767B4B"/>
    <w:rsid w:val="00774DB3"/>
    <w:rsid w:val="00777511"/>
    <w:rsid w:val="00782BD3"/>
    <w:rsid w:val="00783A2D"/>
    <w:rsid w:val="00783C30"/>
    <w:rsid w:val="00786516"/>
    <w:rsid w:val="0078701B"/>
    <w:rsid w:val="0079003D"/>
    <w:rsid w:val="00790F54"/>
    <w:rsid w:val="0079349C"/>
    <w:rsid w:val="007957D3"/>
    <w:rsid w:val="007963A4"/>
    <w:rsid w:val="007A3942"/>
    <w:rsid w:val="007A41FE"/>
    <w:rsid w:val="007A4FF1"/>
    <w:rsid w:val="007A5C4C"/>
    <w:rsid w:val="007A6008"/>
    <w:rsid w:val="007A66E8"/>
    <w:rsid w:val="007A67A8"/>
    <w:rsid w:val="007A6D6E"/>
    <w:rsid w:val="007B5B14"/>
    <w:rsid w:val="007C00B5"/>
    <w:rsid w:val="007C271F"/>
    <w:rsid w:val="007D4695"/>
    <w:rsid w:val="007D5F69"/>
    <w:rsid w:val="007D7D2D"/>
    <w:rsid w:val="007E24A8"/>
    <w:rsid w:val="007E6BBB"/>
    <w:rsid w:val="007F0CC4"/>
    <w:rsid w:val="007F261A"/>
    <w:rsid w:val="007F4389"/>
    <w:rsid w:val="00805841"/>
    <w:rsid w:val="008067E9"/>
    <w:rsid w:val="00810BDB"/>
    <w:rsid w:val="008138C2"/>
    <w:rsid w:val="008207FC"/>
    <w:rsid w:val="00824A1A"/>
    <w:rsid w:val="0082723D"/>
    <w:rsid w:val="00830FB1"/>
    <w:rsid w:val="008318D4"/>
    <w:rsid w:val="00832C2D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56079"/>
    <w:rsid w:val="008631C4"/>
    <w:rsid w:val="00863246"/>
    <w:rsid w:val="008647E2"/>
    <w:rsid w:val="00865A3B"/>
    <w:rsid w:val="00867C1C"/>
    <w:rsid w:val="00871807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61E0"/>
    <w:rsid w:val="00940851"/>
    <w:rsid w:val="0094353A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798"/>
    <w:rsid w:val="009D7F30"/>
    <w:rsid w:val="009E272C"/>
    <w:rsid w:val="009E7949"/>
    <w:rsid w:val="009F1173"/>
    <w:rsid w:val="009F2CE7"/>
    <w:rsid w:val="009F6300"/>
    <w:rsid w:val="00A03DAA"/>
    <w:rsid w:val="00A04E16"/>
    <w:rsid w:val="00A053A7"/>
    <w:rsid w:val="00A07072"/>
    <w:rsid w:val="00A1398C"/>
    <w:rsid w:val="00A16209"/>
    <w:rsid w:val="00A179D8"/>
    <w:rsid w:val="00A17F78"/>
    <w:rsid w:val="00A217B1"/>
    <w:rsid w:val="00A226D6"/>
    <w:rsid w:val="00A2617B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2258"/>
    <w:rsid w:val="00A73CCB"/>
    <w:rsid w:val="00A754BF"/>
    <w:rsid w:val="00A80900"/>
    <w:rsid w:val="00A9256F"/>
    <w:rsid w:val="00A94073"/>
    <w:rsid w:val="00A95724"/>
    <w:rsid w:val="00A97609"/>
    <w:rsid w:val="00A97CC1"/>
    <w:rsid w:val="00AA0964"/>
    <w:rsid w:val="00AA0D73"/>
    <w:rsid w:val="00AB7956"/>
    <w:rsid w:val="00AB7F1E"/>
    <w:rsid w:val="00AC0253"/>
    <w:rsid w:val="00AC5BD9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19E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97D08"/>
    <w:rsid w:val="00BA2FE9"/>
    <w:rsid w:val="00BB2C8E"/>
    <w:rsid w:val="00BB3836"/>
    <w:rsid w:val="00BC6F6D"/>
    <w:rsid w:val="00BC79AA"/>
    <w:rsid w:val="00BC7BE2"/>
    <w:rsid w:val="00BD01DA"/>
    <w:rsid w:val="00BD1DC0"/>
    <w:rsid w:val="00BD70E0"/>
    <w:rsid w:val="00BE1D4B"/>
    <w:rsid w:val="00BE2BF0"/>
    <w:rsid w:val="00BE491C"/>
    <w:rsid w:val="00BE4F1C"/>
    <w:rsid w:val="00BE6F0A"/>
    <w:rsid w:val="00BE7278"/>
    <w:rsid w:val="00BE7B71"/>
    <w:rsid w:val="00BF2E9E"/>
    <w:rsid w:val="00BF4819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403"/>
    <w:rsid w:val="00C34D32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B1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2AE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3BE1"/>
    <w:rsid w:val="00D57ABE"/>
    <w:rsid w:val="00D60D0A"/>
    <w:rsid w:val="00D63034"/>
    <w:rsid w:val="00D664DF"/>
    <w:rsid w:val="00D72C48"/>
    <w:rsid w:val="00D7572D"/>
    <w:rsid w:val="00D76EC7"/>
    <w:rsid w:val="00D806F7"/>
    <w:rsid w:val="00D84E5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76C"/>
    <w:rsid w:val="00DC0BCD"/>
    <w:rsid w:val="00DC63EA"/>
    <w:rsid w:val="00DC7755"/>
    <w:rsid w:val="00DD0776"/>
    <w:rsid w:val="00DD2D10"/>
    <w:rsid w:val="00DD493A"/>
    <w:rsid w:val="00DE0BA7"/>
    <w:rsid w:val="00DE6E8C"/>
    <w:rsid w:val="00DF1B60"/>
    <w:rsid w:val="00DF64FE"/>
    <w:rsid w:val="00DF70DD"/>
    <w:rsid w:val="00E05CBD"/>
    <w:rsid w:val="00E0685D"/>
    <w:rsid w:val="00E133C1"/>
    <w:rsid w:val="00E13A22"/>
    <w:rsid w:val="00E22023"/>
    <w:rsid w:val="00E24F4A"/>
    <w:rsid w:val="00E24F6C"/>
    <w:rsid w:val="00E25FBD"/>
    <w:rsid w:val="00E26554"/>
    <w:rsid w:val="00E27C54"/>
    <w:rsid w:val="00E33DFC"/>
    <w:rsid w:val="00E36DC0"/>
    <w:rsid w:val="00E37A28"/>
    <w:rsid w:val="00E40C11"/>
    <w:rsid w:val="00E504F9"/>
    <w:rsid w:val="00E5307C"/>
    <w:rsid w:val="00E5314E"/>
    <w:rsid w:val="00E538A2"/>
    <w:rsid w:val="00E61DCA"/>
    <w:rsid w:val="00E65FF2"/>
    <w:rsid w:val="00E67113"/>
    <w:rsid w:val="00E67390"/>
    <w:rsid w:val="00E71726"/>
    <w:rsid w:val="00E732A5"/>
    <w:rsid w:val="00E757CD"/>
    <w:rsid w:val="00E76293"/>
    <w:rsid w:val="00E773EF"/>
    <w:rsid w:val="00E824E1"/>
    <w:rsid w:val="00E841D0"/>
    <w:rsid w:val="00E84CB6"/>
    <w:rsid w:val="00E8759A"/>
    <w:rsid w:val="00E915A7"/>
    <w:rsid w:val="00E934B9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FD6"/>
    <w:rsid w:val="00F34D29"/>
    <w:rsid w:val="00F35C2C"/>
    <w:rsid w:val="00F44F0C"/>
    <w:rsid w:val="00F45974"/>
    <w:rsid w:val="00F45EFD"/>
    <w:rsid w:val="00F51B8A"/>
    <w:rsid w:val="00F53A4B"/>
    <w:rsid w:val="00F64D16"/>
    <w:rsid w:val="00F65B50"/>
    <w:rsid w:val="00F66697"/>
    <w:rsid w:val="00F66D00"/>
    <w:rsid w:val="00F67B3D"/>
    <w:rsid w:val="00F733D2"/>
    <w:rsid w:val="00F867C5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E54"/>
    <w:rsid w:val="00FB3F6A"/>
    <w:rsid w:val="00FB6F1F"/>
    <w:rsid w:val="00FC749F"/>
    <w:rsid w:val="00FD2905"/>
    <w:rsid w:val="00FE1CEA"/>
    <w:rsid w:val="00FE3C8E"/>
    <w:rsid w:val="00FE3E86"/>
    <w:rsid w:val="00FE4490"/>
    <w:rsid w:val="00FE51F2"/>
    <w:rsid w:val="00FE52AD"/>
    <w:rsid w:val="00FE5547"/>
    <w:rsid w:val="00FE5CB2"/>
    <w:rsid w:val="00FF15E9"/>
    <w:rsid w:val="00FF6973"/>
    <w:rsid w:val="138424F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Char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Char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Char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Char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Char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uiPriority w:val="0"/>
  </w:style>
  <w:style w:type="character" w:customStyle="1" w:styleId="33">
    <w:name w:val="标题 4 Char"/>
    <w:link w:val="5"/>
    <w:semiHidden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Char"/>
    <w:link w:val="13"/>
    <w:uiPriority w:val="0"/>
    <w:rPr>
      <w:kern w:val="2"/>
      <w:sz w:val="18"/>
      <w:szCs w:val="18"/>
    </w:rPr>
  </w:style>
  <w:style w:type="character" w:customStyle="1" w:styleId="48">
    <w:name w:val="日期 Char"/>
    <w:link w:val="8"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uiPriority w:val="0"/>
  </w:style>
  <w:style w:type="paragraph" w:customStyle="1" w:styleId="51">
    <w:name w:val="xbrltitle2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BB70C71-B3A0-4654-9AE8-524D43F31DE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5</Pages>
  <Words>317</Words>
  <Characters>1808</Characters>
  <Lines>15</Lines>
  <Paragraphs>4</Paragraphs>
  <TotalTime>106</TotalTime>
  <ScaleCrop>false</ScaleCrop>
  <LinksUpToDate>false</LinksUpToDate>
  <CharactersWithSpaces>2121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2021-04-23T07:42:00Z</dcterms:created>
  <dc:creator>yss</dc:creator>
  <cp:lastModifiedBy>24552</cp:lastModifiedBy>
  <cp:lastPrinted>2411-12-31T16:00:00Z</cp:lastPrinted>
  <dcterms:modified xsi:type="dcterms:W3CDTF">2021-07-30T01:07:18Z</dcterms:modified>
  <dc:title>gongGaoMingCheng</dc:title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Generator">
    <vt:lpwstr>NPOI</vt:lpwstr>
  </property>
  <property fmtid="{D5CDD505-2E9C-101B-9397-08002B2CF9AE}" pid="4" name="Generator Version">
    <vt:lpwstr>2.2.1</vt:lpwstr>
  </property>
  <property fmtid="{D5CDD505-2E9C-101B-9397-08002B2CF9AE}" pid="5" name="ICV">
    <vt:lpwstr>7C14429767C64AAE82F848C6E29918FC</vt:lpwstr>
  </property>
</Properties>
</file>