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hint="eastAsia" w:ascii="宋体" w:hAnsi="宋体"/>
          <w:b/>
          <w:bCs/>
          <w:sz w:val="48"/>
          <w:szCs w:val="30"/>
        </w:rPr>
        <w:t>普陀农商银行丰收信福2021年第10期封闭式净值型理财产品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2021年半年度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产品管理人：浙江舟山普陀农村商业银行股份有限公司</w:t>
      </w:r>
    </w:p>
    <w:p>
      <w:pPr>
        <w:ind w:firstLine="1687" w:firstLineChars="600"/>
        <w:jc w:val="left"/>
        <w:rPr>
          <w:rFonts w:ascii="宋体" w:hAnsi="宋体"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</w:t>
      </w:r>
      <w:r>
        <w:rPr>
          <w:rFonts w:hint="eastAsia" w:ascii="宋体" w:hAnsi="宋体"/>
          <w:b/>
          <w:bCs/>
          <w:sz w:val="28"/>
          <w:szCs w:val="30"/>
        </w:rPr>
        <w:t>招商银行股份有限公司杭州分行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招商银行股份有限公司杭州分行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自2021-02-25起至2021-06-30</w:t>
      </w:r>
      <w:r>
        <w:rPr>
          <w:rFonts w:ascii="宋体" w:hAnsi="宋体"/>
          <w:szCs w:val="21"/>
        </w:rPr>
        <w:t>止。</w:t>
      </w:r>
    </w:p>
    <w:p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普陀农商银行丰收信福2021年第10期封闭式净值型理财产品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hint="default" w:ascii="宋体" w:hAnsi="宋体"/>
                <w:lang w:val="en-US"/>
              </w:rPr>
            </w:pPr>
            <w:r>
              <w:rPr>
                <w:rFonts w:hint="eastAsia" w:ascii="宋体" w:hAnsi="宋体"/>
                <w:lang w:val="en-US" w:eastAsia="zh-CN"/>
              </w:rPr>
              <w:t>C1126521000009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浙江舟山普陀农村商业银行股份有限公司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招商银行股份有限公司杭州分行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公募封闭式净值型银行理财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2021-02-25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2022</w:t>
            </w:r>
            <w:r>
              <w:rPr>
                <w:rFonts w:hint="eastAsia" w:ascii="宋体" w:hAnsi="宋体"/>
              </w:rPr>
              <w:t>-</w:t>
            </w:r>
            <w:r>
              <w:rPr>
                <w:rFonts w:hint="eastAsia" w:ascii="宋体" w:hAnsi="宋体"/>
                <w:lang w:val="en-US" w:eastAsia="zh-CN"/>
              </w:rPr>
              <w:t>02</w:t>
            </w:r>
            <w:r>
              <w:rPr>
                <w:rFonts w:hint="eastAsia" w:ascii="宋体" w:hAnsi="宋体"/>
              </w:rPr>
              <w:t>-</w:t>
            </w:r>
            <w:r>
              <w:rPr>
                <w:rFonts w:hint="eastAsia" w:ascii="宋体" w:hAnsi="宋体"/>
                <w:lang w:val="en-US" w:eastAsia="zh-CN"/>
              </w:rPr>
              <w:t>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5,230,000.00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4.05%/年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市值法</w:t>
            </w:r>
          </w:p>
        </w:tc>
      </w:tr>
    </w:tbl>
    <w:p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2021-02-25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2021-06-30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</w:pPr>
            <w:r>
              <w:t>1.73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</w:pPr>
            <w:r>
              <w:rPr>
                <w:rFonts w:hint="eastAsia"/>
              </w:rPr>
              <w:t>1.73</w:t>
            </w:r>
            <w:bookmarkStart w:id="1" w:name="OLE_LINK4"/>
            <w:bookmarkEnd w:id="1"/>
            <w:bookmarkStart w:id="2" w:name="OLE_LINK7"/>
            <w:bookmarkEnd w:id="2"/>
          </w:p>
        </w:tc>
      </w:tr>
    </w:tbl>
    <w:p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主要财务指标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/>
                <w:b/>
                <w:bCs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2021-02-25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2021-06-30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-3,884.14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90,802.25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5,320,802.25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1.0173</w:t>
            </w:r>
          </w:p>
        </w:tc>
      </w:tr>
    </w:tbl>
    <w:p>
      <w:pPr>
        <w:tabs>
          <w:tab w:val="left" w:pos="3135"/>
        </w:tabs>
        <w:ind w:left="420" w:leftChars="200"/>
      </w:pPr>
    </w:p>
    <w:p>
      <w:pPr>
        <w:pStyle w:val="40"/>
      </w:pPr>
      <w:r>
        <w:rPr>
          <w:rFonts w:hint="eastAsia"/>
        </w:rPr>
        <w:t>投资组合情况及</w:t>
      </w:r>
      <w:r>
        <w:t>流动性风险分析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>
      <w:pPr>
        <w:jc w:val="right"/>
      </w:pPr>
    </w:p>
    <w:p>
      <w:pPr>
        <w:jc w:val="right"/>
      </w:pPr>
    </w:p>
    <w:p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6,283,896.46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118.01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6,204,789.74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116.53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79,106.72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1.49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44,755.06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5,324,686.39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100.00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536,349.84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10.07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</w:pPr>
            <w:r>
              <w:t>5,324,686.39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</w:pPr>
            <w:r>
              <w:t>100.00</w:t>
            </w:r>
          </w:p>
        </w:tc>
        <w:tc>
          <w:tcPr>
            <w:tcW w:w="1653" w:type="dxa"/>
          </w:tcPr>
          <w:p>
            <w:pPr>
              <w:jc w:val="right"/>
            </w:pPr>
            <w:r>
              <w:t>6,865,001.35</w:t>
            </w:r>
          </w:p>
        </w:tc>
        <w:tc>
          <w:tcPr>
            <w:tcW w:w="1705" w:type="dxa"/>
          </w:tcPr>
          <w:p>
            <w:pPr>
              <w:jc w:val="right"/>
            </w:pPr>
            <w:r>
              <w:t>128.93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Cs w:val="21"/>
        </w:rPr>
        <w:t>注1：间接投资占产品总资产的比例（%）为占本产品总资产的比例（%）。</w:t>
      </w: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>
      <w:pPr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Theme="minorEastAsia" w:hAnsiTheme="minorEastAsia" w:eastAsiaTheme="minorEastAsia"/>
          <w:szCs w:val="21"/>
        </w:rPr>
        <w:t>注：由管理人自行补充</w:t>
      </w:r>
    </w:p>
    <w:p>
      <w:pPr>
        <w:widowControl/>
        <w:jc w:val="left"/>
        <w:rPr>
          <w:rFonts w:ascii="宋体" w:hAnsi="宋体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中信证券丰收信益4号集合资产管理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</w:pPr>
            <w:r>
              <w:t>5,324,686.39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</w:pPr>
            <w:bookmarkStart w:id="3" w:name="OLE_LINK6"/>
            <w:bookmarkStart w:id="4" w:name="OLE_LINK5"/>
            <w:r>
              <w:t>100.07</w:t>
            </w:r>
            <w:bookmarkEnd w:id="3"/>
            <w:bookmarkEnd w:id="4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注：前十项资产明细仅包含证券投资、场外投资，不包含银行活期存款、存出保证金、清算备付金、应收利息等资产。</w:t>
      </w: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报告期末占资产净值比例大小排序的前十项资产明细（穿透后）</w:t>
      </w:r>
    </w:p>
    <w:p>
      <w:pPr>
        <w:spacing w:before="100" w:beforeAutospacing="1" w:after="100" w:afterAutospacing="1"/>
        <w:jc w:val="right"/>
      </w:pPr>
      <w:r>
        <w:rPr>
          <w:rFonts w:hint="eastAsia"/>
        </w:rPr>
        <w:t>金额单位：元</w:t>
      </w:r>
    </w:p>
    <w:tbl>
      <w:tblPr>
        <w:tblStyle w:val="17"/>
        <w:tblW w:w="9060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77"/>
        <w:gridCol w:w="3159"/>
        <w:gridCol w:w="2693"/>
        <w:gridCol w:w="243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  <w:jc w:val="center"/>
        </w:trPr>
        <w:tc>
          <w:tcPr>
            <w:tcW w:w="7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  <w:jc w:val="center"/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315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  <w:jc w:val="left"/>
            </w:pPr>
            <w:r>
              <w:rPr>
                <w:rFonts w:hint="eastAsia"/>
                <w:b/>
                <w:bCs/>
              </w:rPr>
              <w:t>资产名称</w:t>
            </w:r>
          </w:p>
        </w:tc>
        <w:tc>
          <w:tcPr>
            <w:tcW w:w="269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金额</w:t>
            </w:r>
          </w:p>
        </w:tc>
        <w:tc>
          <w:tcPr>
            <w:tcW w:w="243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占产品资产净值比例（%）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1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21湖交投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197,786.57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3.72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2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19即墨01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159,520.01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3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G20嵊交1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159,080.53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2.99</w:t>
            </w:r>
          </w:p>
        </w:tc>
      </w:tr>
      <w:tr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4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21宜春01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158,229.25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2.97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4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21青控01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158,229.25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2.97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5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21胶州城投PPN001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121,021.65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2.27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6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21上虞国投PPN001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120,653.76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2.27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7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20亦庄02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119,621.32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2.25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8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20湘路06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119,512.14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2.25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9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21襄阳住房PPN002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119,348.37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2.24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10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21洪山城投PPN001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119,312.77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2.24</w:t>
            </w:r>
          </w:p>
        </w:tc>
      </w:tr>
    </w:tbl>
    <w:p>
      <w:pPr>
        <w:spacing w:before="100" w:beforeAutospacing="1" w:after="100" w:afterAutospacing="1"/>
      </w:pPr>
      <w:r>
        <w:rPr>
          <w:rFonts w:hint="eastAsia"/>
        </w:rPr>
        <w:t>注：前十项资产明细仅包含证券投资、场外投资，不包含银行活期存款、存出保证金、清算备付金、应收利息等资产。</w:t>
      </w:r>
    </w:p>
    <w:p>
      <w:pPr>
        <w:pStyle w:val="40"/>
      </w:pPr>
      <w:r>
        <w:t>托管人报告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招商银行具备完善的公司治理结构、内部稽核监控制度和风险控制制度，我行在履行托管职责中，严格遵守有关法律法规、托管协议的规定，尽职尽责地履行托管义务并安全保管托管资产。</w:t>
      </w:r>
    </w:p>
    <w:p>
      <w:pPr>
        <w:jc w:val="left"/>
        <w:rPr>
          <w:rFonts w:asciiTheme="minorEastAsia" w:hAnsiTheme="minorEastAsia" w:eastAsiaTheme="minorEastAsia"/>
          <w:szCs w:val="21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浙江舟山普陀农村商业银行股份有限公司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2021-0</w:t>
      </w:r>
      <w:r>
        <w:rPr>
          <w:rFonts w:hint="eastAsia" w:ascii="宋体" w:hAnsi="宋体"/>
          <w:sz w:val="28"/>
          <w:szCs w:val="28"/>
          <w:lang w:val="en-US" w:eastAsia="zh-CN"/>
        </w:rPr>
        <w:t>7</w:t>
      </w:r>
      <w:bookmarkStart w:id="5" w:name="_GoBack"/>
      <w:bookmarkEnd w:id="5"/>
      <w:r>
        <w:rPr>
          <w:rFonts w:ascii="宋体" w:hAnsi="宋体"/>
          <w:sz w:val="28"/>
          <w:szCs w:val="28"/>
        </w:rPr>
        <w:t>-29</w:t>
      </w: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456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1668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13BD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003A8"/>
    <w:rsid w:val="001178EF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82115"/>
    <w:rsid w:val="0019201F"/>
    <w:rsid w:val="00193840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2D4"/>
    <w:rsid w:val="001E1A37"/>
    <w:rsid w:val="001E27AF"/>
    <w:rsid w:val="001E2A08"/>
    <w:rsid w:val="001E4B7A"/>
    <w:rsid w:val="001E7354"/>
    <w:rsid w:val="001E73F7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7180C"/>
    <w:rsid w:val="00285198"/>
    <w:rsid w:val="0028673C"/>
    <w:rsid w:val="00291837"/>
    <w:rsid w:val="00293CED"/>
    <w:rsid w:val="002A1060"/>
    <w:rsid w:val="002A5581"/>
    <w:rsid w:val="002A6967"/>
    <w:rsid w:val="002B18D0"/>
    <w:rsid w:val="002B1BF7"/>
    <w:rsid w:val="002B2425"/>
    <w:rsid w:val="002B5C75"/>
    <w:rsid w:val="002B6AB0"/>
    <w:rsid w:val="002B6D92"/>
    <w:rsid w:val="002C0D52"/>
    <w:rsid w:val="002D2E99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40F2"/>
    <w:rsid w:val="003170E3"/>
    <w:rsid w:val="003176DF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798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216"/>
    <w:rsid w:val="00415C27"/>
    <w:rsid w:val="004169FD"/>
    <w:rsid w:val="00420876"/>
    <w:rsid w:val="0042283D"/>
    <w:rsid w:val="00430538"/>
    <w:rsid w:val="004332EF"/>
    <w:rsid w:val="00436399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A7E27"/>
    <w:rsid w:val="004B02F2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E5C17"/>
    <w:rsid w:val="004F0ECB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2CD"/>
    <w:rsid w:val="00527A49"/>
    <w:rsid w:val="005310A6"/>
    <w:rsid w:val="0053595B"/>
    <w:rsid w:val="00537901"/>
    <w:rsid w:val="00540DE6"/>
    <w:rsid w:val="00542A91"/>
    <w:rsid w:val="0054387B"/>
    <w:rsid w:val="005465B6"/>
    <w:rsid w:val="00552EA5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50DF"/>
    <w:rsid w:val="005C6300"/>
    <w:rsid w:val="005D0C97"/>
    <w:rsid w:val="005D13A8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4F5A"/>
    <w:rsid w:val="00665902"/>
    <w:rsid w:val="006664D5"/>
    <w:rsid w:val="00667384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55BF"/>
    <w:rsid w:val="00697DB7"/>
    <w:rsid w:val="006A307A"/>
    <w:rsid w:val="006B0B91"/>
    <w:rsid w:val="006B24E7"/>
    <w:rsid w:val="006B554E"/>
    <w:rsid w:val="006B5B87"/>
    <w:rsid w:val="006C21A8"/>
    <w:rsid w:val="006C483B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6F7150"/>
    <w:rsid w:val="00710788"/>
    <w:rsid w:val="00710F9C"/>
    <w:rsid w:val="00711860"/>
    <w:rsid w:val="00714D1B"/>
    <w:rsid w:val="00717029"/>
    <w:rsid w:val="00720312"/>
    <w:rsid w:val="0072202C"/>
    <w:rsid w:val="0072288E"/>
    <w:rsid w:val="00730BF8"/>
    <w:rsid w:val="007313AE"/>
    <w:rsid w:val="00735E33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1A28"/>
    <w:rsid w:val="00762F4A"/>
    <w:rsid w:val="007633CA"/>
    <w:rsid w:val="007663F0"/>
    <w:rsid w:val="00767B4B"/>
    <w:rsid w:val="00774DB3"/>
    <w:rsid w:val="00777511"/>
    <w:rsid w:val="00782BD3"/>
    <w:rsid w:val="00783A2D"/>
    <w:rsid w:val="00783C30"/>
    <w:rsid w:val="00786516"/>
    <w:rsid w:val="0078701B"/>
    <w:rsid w:val="0079003D"/>
    <w:rsid w:val="00790F54"/>
    <w:rsid w:val="0079349C"/>
    <w:rsid w:val="007957D3"/>
    <w:rsid w:val="007963A4"/>
    <w:rsid w:val="007A3942"/>
    <w:rsid w:val="007A41FE"/>
    <w:rsid w:val="007A4FF1"/>
    <w:rsid w:val="007A5C4C"/>
    <w:rsid w:val="007A6008"/>
    <w:rsid w:val="007A66E8"/>
    <w:rsid w:val="007A67A8"/>
    <w:rsid w:val="007A6D6E"/>
    <w:rsid w:val="007B5B14"/>
    <w:rsid w:val="007C00B5"/>
    <w:rsid w:val="007C271F"/>
    <w:rsid w:val="007D4695"/>
    <w:rsid w:val="007D5F69"/>
    <w:rsid w:val="007D7D2D"/>
    <w:rsid w:val="007E24A8"/>
    <w:rsid w:val="007E6BBB"/>
    <w:rsid w:val="007F0CC4"/>
    <w:rsid w:val="007F261A"/>
    <w:rsid w:val="007F4389"/>
    <w:rsid w:val="00805841"/>
    <w:rsid w:val="008067E9"/>
    <w:rsid w:val="00810BDB"/>
    <w:rsid w:val="008138C2"/>
    <w:rsid w:val="008207FC"/>
    <w:rsid w:val="00824A1A"/>
    <w:rsid w:val="0082723D"/>
    <w:rsid w:val="00830FB1"/>
    <w:rsid w:val="008318D4"/>
    <w:rsid w:val="00832C2D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56079"/>
    <w:rsid w:val="008631C4"/>
    <w:rsid w:val="00863246"/>
    <w:rsid w:val="008647E2"/>
    <w:rsid w:val="00865A3B"/>
    <w:rsid w:val="00867C1C"/>
    <w:rsid w:val="00871807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61E0"/>
    <w:rsid w:val="00940851"/>
    <w:rsid w:val="0094353A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798"/>
    <w:rsid w:val="009D7F30"/>
    <w:rsid w:val="009E272C"/>
    <w:rsid w:val="009E7949"/>
    <w:rsid w:val="009F1173"/>
    <w:rsid w:val="009F2CE7"/>
    <w:rsid w:val="009F6300"/>
    <w:rsid w:val="00A03DAA"/>
    <w:rsid w:val="00A04E16"/>
    <w:rsid w:val="00A053A7"/>
    <w:rsid w:val="00A07072"/>
    <w:rsid w:val="00A1398C"/>
    <w:rsid w:val="00A16209"/>
    <w:rsid w:val="00A179D8"/>
    <w:rsid w:val="00A17F78"/>
    <w:rsid w:val="00A217B1"/>
    <w:rsid w:val="00A226D6"/>
    <w:rsid w:val="00A2617B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2258"/>
    <w:rsid w:val="00A73CCB"/>
    <w:rsid w:val="00A754BF"/>
    <w:rsid w:val="00A80900"/>
    <w:rsid w:val="00A9256F"/>
    <w:rsid w:val="00A94073"/>
    <w:rsid w:val="00A95724"/>
    <w:rsid w:val="00A97609"/>
    <w:rsid w:val="00A97CC1"/>
    <w:rsid w:val="00AA0964"/>
    <w:rsid w:val="00AA0D73"/>
    <w:rsid w:val="00AB7956"/>
    <w:rsid w:val="00AB7F1E"/>
    <w:rsid w:val="00AC0253"/>
    <w:rsid w:val="00AC5BD9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19E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97D08"/>
    <w:rsid w:val="00BA2FE9"/>
    <w:rsid w:val="00BB2C8E"/>
    <w:rsid w:val="00BB3836"/>
    <w:rsid w:val="00BC6F6D"/>
    <w:rsid w:val="00BC79AA"/>
    <w:rsid w:val="00BC7BE2"/>
    <w:rsid w:val="00BD01DA"/>
    <w:rsid w:val="00BD1DC0"/>
    <w:rsid w:val="00BD70E0"/>
    <w:rsid w:val="00BE1D4B"/>
    <w:rsid w:val="00BE2BF0"/>
    <w:rsid w:val="00BE491C"/>
    <w:rsid w:val="00BE4F1C"/>
    <w:rsid w:val="00BE6F0A"/>
    <w:rsid w:val="00BE7278"/>
    <w:rsid w:val="00BE7B71"/>
    <w:rsid w:val="00BF2E9E"/>
    <w:rsid w:val="00BF4819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403"/>
    <w:rsid w:val="00C34D32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B1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2AE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3BE1"/>
    <w:rsid w:val="00D57ABE"/>
    <w:rsid w:val="00D60D0A"/>
    <w:rsid w:val="00D63034"/>
    <w:rsid w:val="00D664DF"/>
    <w:rsid w:val="00D72C48"/>
    <w:rsid w:val="00D7572D"/>
    <w:rsid w:val="00D76EC7"/>
    <w:rsid w:val="00D806F7"/>
    <w:rsid w:val="00D84E5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76C"/>
    <w:rsid w:val="00DC0BCD"/>
    <w:rsid w:val="00DC63EA"/>
    <w:rsid w:val="00DC7755"/>
    <w:rsid w:val="00DD0776"/>
    <w:rsid w:val="00DD2D10"/>
    <w:rsid w:val="00DD493A"/>
    <w:rsid w:val="00DE0BA7"/>
    <w:rsid w:val="00DE6E8C"/>
    <w:rsid w:val="00DF1B60"/>
    <w:rsid w:val="00DF64FE"/>
    <w:rsid w:val="00DF70DD"/>
    <w:rsid w:val="00E05CBD"/>
    <w:rsid w:val="00E0685D"/>
    <w:rsid w:val="00E133C1"/>
    <w:rsid w:val="00E13A22"/>
    <w:rsid w:val="00E22023"/>
    <w:rsid w:val="00E24F4A"/>
    <w:rsid w:val="00E24F6C"/>
    <w:rsid w:val="00E25FBD"/>
    <w:rsid w:val="00E26554"/>
    <w:rsid w:val="00E27C54"/>
    <w:rsid w:val="00E33DFC"/>
    <w:rsid w:val="00E36DC0"/>
    <w:rsid w:val="00E37A28"/>
    <w:rsid w:val="00E40C11"/>
    <w:rsid w:val="00E504F9"/>
    <w:rsid w:val="00E5307C"/>
    <w:rsid w:val="00E5314E"/>
    <w:rsid w:val="00E538A2"/>
    <w:rsid w:val="00E61DCA"/>
    <w:rsid w:val="00E65FF2"/>
    <w:rsid w:val="00E67113"/>
    <w:rsid w:val="00E67390"/>
    <w:rsid w:val="00E71726"/>
    <w:rsid w:val="00E732A5"/>
    <w:rsid w:val="00E757CD"/>
    <w:rsid w:val="00E76293"/>
    <w:rsid w:val="00E773EF"/>
    <w:rsid w:val="00E824E1"/>
    <w:rsid w:val="00E841D0"/>
    <w:rsid w:val="00E84CB6"/>
    <w:rsid w:val="00E8759A"/>
    <w:rsid w:val="00E915A7"/>
    <w:rsid w:val="00E934B9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FD6"/>
    <w:rsid w:val="00F34D29"/>
    <w:rsid w:val="00F35C2C"/>
    <w:rsid w:val="00F44F0C"/>
    <w:rsid w:val="00F45974"/>
    <w:rsid w:val="00F45EFD"/>
    <w:rsid w:val="00F51B8A"/>
    <w:rsid w:val="00F53A4B"/>
    <w:rsid w:val="00F64D16"/>
    <w:rsid w:val="00F65B50"/>
    <w:rsid w:val="00F66697"/>
    <w:rsid w:val="00F66D00"/>
    <w:rsid w:val="00F67B3D"/>
    <w:rsid w:val="00F733D2"/>
    <w:rsid w:val="00F867C5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E54"/>
    <w:rsid w:val="00FB3F6A"/>
    <w:rsid w:val="00FB6F1F"/>
    <w:rsid w:val="00FC749F"/>
    <w:rsid w:val="00FD2905"/>
    <w:rsid w:val="00FE1CEA"/>
    <w:rsid w:val="00FE3C8E"/>
    <w:rsid w:val="00FE3E86"/>
    <w:rsid w:val="00FE4490"/>
    <w:rsid w:val="00FE51F2"/>
    <w:rsid w:val="00FE52AD"/>
    <w:rsid w:val="00FE5547"/>
    <w:rsid w:val="00FE5CB2"/>
    <w:rsid w:val="00FF15E9"/>
    <w:rsid w:val="00FF6973"/>
    <w:rsid w:val="08B43CAC"/>
    <w:rsid w:val="0D127EE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Char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Char"/>
    <w:link w:val="12"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Char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Char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Char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Char"/>
    <w:link w:val="5"/>
    <w:semiHidden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Char"/>
    <w:link w:val="13"/>
    <w:uiPriority w:val="0"/>
    <w:rPr>
      <w:kern w:val="2"/>
      <w:sz w:val="18"/>
      <w:szCs w:val="18"/>
    </w:rPr>
  </w:style>
  <w:style w:type="character" w:customStyle="1" w:styleId="48">
    <w:name w:val="日期 Char"/>
    <w:link w:val="8"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uiPriority w:val="0"/>
  </w:style>
  <w:style w:type="paragraph" w:customStyle="1" w:styleId="51">
    <w:name w:val="xbrltitle2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BB70C71-B3A0-4654-9AE8-524D43F31DE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5</Pages>
  <Words>317</Words>
  <Characters>1808</Characters>
  <Lines>15</Lines>
  <Paragraphs>4</Paragraphs>
  <TotalTime>1</TotalTime>
  <ScaleCrop>false</ScaleCrop>
  <LinksUpToDate>false</LinksUpToDate>
  <CharactersWithSpaces>2121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2021-04-23T07:42:00Z</dcterms:created>
  <dc:creator>yss</dc:creator>
  <cp:lastModifiedBy>24552</cp:lastModifiedBy>
  <cp:lastPrinted>2411-12-31T16:00:00Z</cp:lastPrinted>
  <dcterms:modified xsi:type="dcterms:W3CDTF">2021-07-30T01:10:39Z</dcterms:modified>
  <dc:title>gongGaoMingCheng</dc:title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Generator">
    <vt:lpwstr>NPOI</vt:lpwstr>
  </property>
  <property fmtid="{D5CDD505-2E9C-101B-9397-08002B2CF9AE}" pid="4" name="Generator Version">
    <vt:lpwstr>2.2.1</vt:lpwstr>
  </property>
  <property fmtid="{D5CDD505-2E9C-101B-9397-08002B2CF9AE}" pid="5" name="ICV">
    <vt:lpwstr>CF536EE59BBB4A49935D2D2054C65FFA</vt:lpwstr>
  </property>
</Properties>
</file>