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38" w:rsidRDefault="00BA3138" w:rsidP="00BA3138">
      <w:pPr>
        <w:spacing w:line="480" w:lineRule="exact"/>
        <w:jc w:val="center"/>
        <w:rPr>
          <w:rFonts w:ascii="方正小标宋简体" w:eastAsia="方正小标宋简体" w:hAnsi="黑体"/>
          <w:sz w:val="36"/>
          <w:szCs w:val="36"/>
        </w:rPr>
      </w:pPr>
      <w:r w:rsidRPr="008C27FC">
        <w:rPr>
          <w:rFonts w:ascii="方正小标宋简体" w:eastAsia="方正小标宋简体" w:hAnsi="黑体" w:hint="eastAsia"/>
          <w:sz w:val="36"/>
          <w:szCs w:val="36"/>
        </w:rPr>
        <w:t>普陀农村商业银行20</w:t>
      </w:r>
      <w:r>
        <w:rPr>
          <w:rFonts w:ascii="方正小标宋简体" w:eastAsia="方正小标宋简体" w:hAnsi="黑体" w:hint="eastAsia"/>
          <w:sz w:val="36"/>
          <w:szCs w:val="36"/>
        </w:rPr>
        <w:t>23</w:t>
      </w:r>
      <w:r w:rsidRPr="008C27FC">
        <w:rPr>
          <w:rFonts w:ascii="方正小标宋简体" w:eastAsia="方正小标宋简体" w:hAnsi="黑体" w:hint="eastAsia"/>
          <w:sz w:val="36"/>
          <w:szCs w:val="36"/>
        </w:rPr>
        <w:t>年度信息披露报告</w:t>
      </w:r>
    </w:p>
    <w:p w:rsidR="00BA3138" w:rsidRDefault="00BA3138" w:rsidP="00BA3138">
      <w:pPr>
        <w:widowControl/>
        <w:spacing w:line="500" w:lineRule="exact"/>
        <w:rPr>
          <w:rFonts w:ascii="黑体" w:eastAsia="黑体" w:hAnsi="黑体"/>
          <w:kern w:val="0"/>
          <w:sz w:val="28"/>
          <w:szCs w:val="28"/>
        </w:rPr>
      </w:pPr>
    </w:p>
    <w:p w:rsidR="00BA3138" w:rsidRPr="000A3E79" w:rsidRDefault="00BA3138" w:rsidP="00BA3138">
      <w:pPr>
        <w:widowControl/>
        <w:spacing w:line="500" w:lineRule="exact"/>
        <w:jc w:val="center"/>
        <w:rPr>
          <w:rFonts w:ascii="黑体" w:eastAsia="黑体" w:hAnsi="黑体"/>
          <w:kern w:val="0"/>
          <w:sz w:val="30"/>
          <w:szCs w:val="30"/>
        </w:rPr>
      </w:pPr>
      <w:r w:rsidRPr="000A3E79">
        <w:rPr>
          <w:rFonts w:ascii="黑体" w:eastAsia="黑体" w:hAnsi="黑体" w:hint="eastAsia"/>
          <w:kern w:val="0"/>
          <w:sz w:val="30"/>
          <w:szCs w:val="30"/>
        </w:rPr>
        <w:t>第一节  重要声明</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（一）浙江舟山普陀农村商业银行股份有限公司（以下称本行）董事会保证本报告的信息真实、准确、完整，不存在虚假记载、误导性陈述或重大遗漏，并承担相应的法律责任。</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（二）本行监事会和独立董事认为本报告所载资料不存在重大遗漏、虚假陈述或者严重误导，本报告所载内容真实、准确、完整。</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（三）本行董事长缪军、财务部门负责人俞舟云对年度报告中财务及监管指标的真实性和完整性作出承诺。</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四）本行年度财务报告已经浙江浙经天策会计事务所有限公司按照中国注册会计师审计准则审计并出具了标准无保留意见的审计报告，经审计，本行2023年度经营年报符合《企业会计准则》的要求，在所有重大方面真实、完整、公允地反映了本行2023年12月31日的财务状况以及2023年度的经营成果。</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（五）本报告备置地点：普陀农村商业银行总部及主要营业网点。本行官网：www.ptbank.com。</w:t>
      </w:r>
    </w:p>
    <w:p w:rsidR="00BA3138" w:rsidRPr="000A3E79" w:rsidRDefault="00BA3138" w:rsidP="00BA3138">
      <w:pPr>
        <w:widowControl/>
        <w:spacing w:line="500" w:lineRule="exact"/>
        <w:jc w:val="center"/>
        <w:rPr>
          <w:rFonts w:ascii="黑体" w:eastAsia="黑体" w:hAnsi="黑体"/>
          <w:kern w:val="0"/>
          <w:sz w:val="30"/>
          <w:szCs w:val="30"/>
        </w:rPr>
      </w:pPr>
      <w:r w:rsidRPr="000A3E79">
        <w:rPr>
          <w:rFonts w:ascii="黑体" w:eastAsia="黑体" w:hAnsi="黑体" w:hint="eastAsia"/>
          <w:kern w:val="0"/>
          <w:sz w:val="30"/>
          <w:szCs w:val="30"/>
        </w:rPr>
        <w:t>第二节  基本信息</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本行是经中国银行业保险业监督管理委员会浙江监管局批准成立，服务于“三农”、社区、中小微企业和地方经济的股份制法人银行业金融机构。</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（一）法定名称</w:t>
      </w:r>
    </w:p>
    <w:p w:rsidR="00BA3138" w:rsidRPr="000A3E79" w:rsidRDefault="00BA3138" w:rsidP="00BA3138">
      <w:pPr>
        <w:widowControl/>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中文名称：浙江舟山普陀农村商业银行股份有限公司（简称：普陀农村商业银行）</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英文名称：Zhejiang Zhoushan Putuo Rural Commercial Bank Co., Ltd.（简称：Putuo Rural Commercial Bank或PTRCB）</w:t>
      </w:r>
    </w:p>
    <w:p w:rsidR="00BA3138" w:rsidRPr="000A3E79" w:rsidRDefault="00BA3138" w:rsidP="00BA3138">
      <w:pPr>
        <w:widowControl/>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（二）本行法定代表人：缪军</w:t>
      </w:r>
    </w:p>
    <w:p w:rsidR="00BA3138" w:rsidRPr="000A3E79" w:rsidRDefault="00BA3138" w:rsidP="00BA3138">
      <w:pPr>
        <w:widowControl/>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（三）本行注册地：浙江省舟山市普陀区东港街道麒麟街225号（自贸试验区内），邮政编码：316106</w:t>
      </w:r>
    </w:p>
    <w:p w:rsidR="00BA3138" w:rsidRPr="000A3E79" w:rsidRDefault="00BA3138" w:rsidP="00BA3138">
      <w:pPr>
        <w:widowControl/>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（四）统一社会信用代码：913309006831072360</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（五）成立时间：2013年10月28日</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（六）注册资本：515,507,013.00元人民币</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（七）经济性质：股份有限公司（非上市）</w:t>
      </w:r>
    </w:p>
    <w:p w:rsidR="00BA3138" w:rsidRPr="000A3E79" w:rsidRDefault="00BA3138" w:rsidP="00BA3138">
      <w:pPr>
        <w:widowControl/>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（八）信息披露事务负责人：张忠波，联系电话：0580-3019968</w:t>
      </w:r>
    </w:p>
    <w:p w:rsidR="00BA3138" w:rsidRPr="000A3E79" w:rsidRDefault="00BA3138" w:rsidP="00BA3138">
      <w:pPr>
        <w:widowControl/>
        <w:spacing w:line="500" w:lineRule="exact"/>
        <w:ind w:firstLineChars="500" w:firstLine="1500"/>
        <w:rPr>
          <w:rFonts w:ascii="仿宋" w:eastAsia="仿宋" w:hAnsi="仿宋"/>
          <w:sz w:val="30"/>
          <w:szCs w:val="30"/>
        </w:rPr>
      </w:pPr>
      <w:r w:rsidRPr="000A3E79">
        <w:rPr>
          <w:rFonts w:ascii="仿宋" w:eastAsia="仿宋" w:hAnsi="仿宋" w:hint="eastAsia"/>
          <w:sz w:val="30"/>
          <w:szCs w:val="30"/>
        </w:rPr>
        <w:t>传真：0580-3055907  电子邮箱：</w:t>
      </w:r>
      <w:hyperlink r:id="rId8" w:history="1">
        <w:r w:rsidRPr="000A3E79">
          <w:rPr>
            <w:rFonts w:ascii="仿宋" w:eastAsia="仿宋" w:hAnsi="仿宋" w:hint="eastAsia"/>
            <w:sz w:val="30"/>
            <w:szCs w:val="30"/>
          </w:rPr>
          <w:t>putuobank@163.com</w:t>
        </w:r>
      </w:hyperlink>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（九）本行投诉电话：0580-3032477</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（十）本行主营业务范围。吸收公</w:t>
      </w:r>
      <w:r w:rsidR="00B16EF9" w:rsidRPr="00B16EF9">
        <w:rPr>
          <w:rFonts w:ascii="仿宋" w:eastAsia="仿宋" w:hAnsi="仿宋" w:hint="eastAsia"/>
          <w:sz w:val="30"/>
          <w:szCs w:val="30"/>
        </w:rPr>
        <w:t>众</w:t>
      </w:r>
      <w:r w:rsidRPr="000A3E79">
        <w:rPr>
          <w:rFonts w:ascii="仿宋" w:eastAsia="仿宋" w:hAnsi="仿宋" w:hint="eastAsia"/>
          <w:sz w:val="30"/>
          <w:szCs w:val="30"/>
        </w:rPr>
        <w:t>存款；发放短期、中期和长期贷款；办理国内外结算；办理票据承兑与贴现；代理发行、代理兑付、承销政府债券；买卖政府债券、金融债券；从事同业拆借；从事银行卡业务；代理收付款项；提供保管箱服务；经中国银行业监督机构批准的其他业务。</w:t>
      </w:r>
    </w:p>
    <w:p w:rsidR="00BA3138" w:rsidRPr="000A3E79" w:rsidRDefault="00BA3138" w:rsidP="00BA3138">
      <w:pPr>
        <w:widowControl/>
        <w:spacing w:line="500" w:lineRule="exact"/>
        <w:jc w:val="center"/>
        <w:rPr>
          <w:rFonts w:ascii="黑体" w:eastAsia="黑体" w:hAnsi="黑体"/>
          <w:kern w:val="0"/>
          <w:sz w:val="30"/>
          <w:szCs w:val="30"/>
        </w:rPr>
      </w:pPr>
      <w:r w:rsidRPr="000A3E79">
        <w:rPr>
          <w:rFonts w:ascii="黑体" w:eastAsia="黑体" w:hAnsi="黑体" w:hint="eastAsia"/>
          <w:kern w:val="0"/>
          <w:sz w:val="30"/>
          <w:szCs w:val="30"/>
        </w:rPr>
        <w:t>第三节  主营业务情况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一）存款。2023年末，本行各项存款余额283.4亿元，比年初增加42.95亿元，增幅17.86%，同比多增5.21亿元，其中储蓄存款221.83亿元，比年初增加31.93亿元，对公存款61.56亿元，比年初增加11.02亿元；日均存款余额265.47亿元，比年初增加41.15亿元，增幅18.34%；存款市场占有率34.38%，比年初提高0.49个百分点。</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（二）贷款。2023年末，各项贷款余额218.47亿元，比年初增加39.71亿元，增幅22.21%，同比多增12.09亿元；贷款日均余额206亿元，比年初增加34.16亿元，增幅19.88%；贷款市场占有率27.16%，比年初提高0.31个百分点。</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三）普惠金融。2023年末，本行普惠型小微企业贷款余额（“两增”口径）83.22亿元，比年初增加15.69亿元，增速23.23%，高于各项贷款增速5.57个百分点；普惠型涉农贷款余额35.12亿元，比年初增加2.91亿元。全年新增小微企业首贷户414户，新增个体工商户</w:t>
      </w:r>
      <w:r w:rsidRPr="000A3E79">
        <w:rPr>
          <w:rFonts w:ascii="仿宋" w:eastAsia="仿宋" w:hAnsi="仿宋" w:hint="eastAsia"/>
          <w:sz w:val="30"/>
          <w:szCs w:val="30"/>
        </w:rPr>
        <w:lastRenderedPageBreak/>
        <w:t>首贷户64户。累计开立第三代社保卡18.56万张，比年初增加5080张。</w:t>
      </w:r>
    </w:p>
    <w:p w:rsidR="00BA3138" w:rsidRPr="000A3E79" w:rsidRDefault="00BA3138" w:rsidP="00BA3138">
      <w:pPr>
        <w:spacing w:line="500" w:lineRule="exact"/>
        <w:ind w:firstLineChars="200" w:firstLine="600"/>
        <w:rPr>
          <w:rFonts w:ascii="宋体" w:hAnsi="宋体"/>
          <w:sz w:val="30"/>
          <w:szCs w:val="30"/>
        </w:rPr>
      </w:pPr>
      <w:r w:rsidRPr="000A3E79">
        <w:rPr>
          <w:rFonts w:ascii="仿宋" w:eastAsia="仿宋" w:hAnsi="仿宋" w:hint="eastAsia"/>
          <w:sz w:val="30"/>
          <w:szCs w:val="30"/>
        </w:rPr>
        <w:t>（四）数字金融。2023年末，本行互联网客户18.36万户，比年初增加0.87万户；信用卡38504张，比年初增加7255张；数字贷款余额20.63亿元,比年初增加4.14亿元，占比54.68%</w:t>
      </w:r>
      <w:r w:rsidR="00B8204B">
        <w:rPr>
          <w:rFonts w:ascii="仿宋" w:eastAsia="仿宋" w:hAnsi="仿宋" w:hint="eastAsia"/>
          <w:sz w:val="30"/>
          <w:szCs w:val="30"/>
        </w:rPr>
        <w:t>,</w:t>
      </w:r>
      <w:r w:rsidRPr="000A3E79">
        <w:rPr>
          <w:rFonts w:ascii="仿宋" w:eastAsia="仿宋" w:hAnsi="仿宋" w:hint="eastAsia"/>
          <w:sz w:val="30"/>
          <w:szCs w:val="30"/>
        </w:rPr>
        <w:t>比年初提高16.17个百分点。</w:t>
      </w:r>
    </w:p>
    <w:p w:rsidR="00BA3138" w:rsidRPr="000A3E79" w:rsidRDefault="00BA3138" w:rsidP="00BA3138">
      <w:pPr>
        <w:widowControl/>
        <w:spacing w:line="500" w:lineRule="exact"/>
        <w:jc w:val="center"/>
        <w:rPr>
          <w:rFonts w:ascii="黑体" w:eastAsia="黑体" w:hAnsi="黑体"/>
          <w:kern w:val="0"/>
          <w:sz w:val="30"/>
          <w:szCs w:val="30"/>
        </w:rPr>
      </w:pPr>
      <w:r w:rsidRPr="000A3E79">
        <w:rPr>
          <w:rFonts w:ascii="黑体" w:eastAsia="黑体" w:hAnsi="黑体" w:hint="eastAsia"/>
          <w:kern w:val="0"/>
          <w:sz w:val="30"/>
          <w:szCs w:val="30"/>
        </w:rPr>
        <w:t>第四节  财务会计报告</w:t>
      </w:r>
    </w:p>
    <w:p w:rsidR="00BA3138" w:rsidRPr="000A3E79" w:rsidRDefault="00BA3138" w:rsidP="00BA3138">
      <w:pPr>
        <w:spacing w:line="500" w:lineRule="exact"/>
        <w:ind w:firstLine="645"/>
        <w:rPr>
          <w:rFonts w:ascii="仿宋" w:eastAsia="仿宋" w:hAnsi="仿宋"/>
          <w:sz w:val="30"/>
          <w:szCs w:val="30"/>
        </w:rPr>
      </w:pPr>
      <w:r w:rsidRPr="000A3E79">
        <w:rPr>
          <w:rFonts w:ascii="仿宋" w:eastAsia="仿宋" w:hAnsi="仿宋" w:hint="eastAsia"/>
          <w:sz w:val="30"/>
          <w:szCs w:val="30"/>
        </w:rPr>
        <w:t>（一）资产规模状况。年末全行总资产规模3,303,139万元，比年初增加536,279 万元，增幅19.38%，其中贷款净值2,105,053万元，占资产总额的63.73%；同业资产净值1,137,378万元，占全部资产34.43%；不生息资金净值60,708万元，占资产总额的1.84%。</w:t>
      </w:r>
    </w:p>
    <w:p w:rsidR="00BA3138" w:rsidRPr="000A3E79" w:rsidRDefault="00BA3138" w:rsidP="00BA3138">
      <w:pPr>
        <w:adjustRightInd w:val="0"/>
        <w:snapToGrid w:val="0"/>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信贷资产。年末各项贷款余额2,184,668万元，比年初增加397,078万元；日均贷款余额2,059,993万元，比年初增加341,639万元，增幅19.88%；存贷款比例77.09%，比年初提高2.74个百分点。五级不良贷款余额17,864万元，不良率为0.82%，比年初下降0.02个百分点。</w:t>
      </w:r>
    </w:p>
    <w:p w:rsidR="00BA3138" w:rsidRPr="000A3E79" w:rsidRDefault="00BA3138" w:rsidP="00BA3138">
      <w:pPr>
        <w:adjustRightInd w:val="0"/>
        <w:snapToGrid w:val="0"/>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2.同业及投资款项。年末全行同业资产净额1,137,378万元，比年初增加163,218万元。其中存放中央银</w:t>
      </w:r>
      <w:r w:rsidRPr="000A3E79">
        <w:rPr>
          <w:rFonts w:ascii="仿宋" w:eastAsia="仿宋" w:hAnsi="仿宋"/>
          <w:sz w:val="30"/>
          <w:szCs w:val="30"/>
        </w:rPr>
        <w:t>行</w:t>
      </w:r>
      <w:r w:rsidRPr="000A3E79">
        <w:rPr>
          <w:rFonts w:ascii="仿宋" w:eastAsia="仿宋" w:hAnsi="仿宋" w:hint="eastAsia"/>
          <w:sz w:val="30"/>
          <w:szCs w:val="30"/>
        </w:rPr>
        <w:t>款项余额196,180万元，比年初增加48,061万元；存放同业款项余额153,377万元，比年初增加10,380万元；各类投资余额787,821万元，比年初增加104,777万元。</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二）负债业务状况。年末，总负债3,067,327万元，比年初增加515,003万元，增幅20.18%，完成董事会预算109.07%。其中吸收存款2,903,886万元（含应付利息69,899万元），占负债总额的94.67%；同业负债149,916万元，占比4.89%；其他负债13,525万元，占比0.44%。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1.存款业务。年末，全行各项存款余额2,833,987万元，比年初增加429,536万元,增幅17.86%；其中定期存款余额2,224,277万元，比年初增加283,632万元，增幅16.30%。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2.同业负债。年末余额149,916万元，比年初增加71,771万元，其中向中央银行借款98,659万元，比年初增加50,836万元，向其他银行借款51,257万元，同比增加20,935万元。</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3.其他负债。其他负债余额13,525万元,比年初增加2,247万元，主要是计提各类税款等。</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（三）所有者权益状况。年末, 所有者权益235,813万元，比年初增加21,276万元，完成预算105.03%。其中，股本金51,551万元，资本公积25,121万元，其他综合收益317万元，盈余公积21,605万元，一般风险准备51,774万元，未分配利润85,445万元。</w:t>
      </w:r>
    </w:p>
    <w:p w:rsidR="00BA3138" w:rsidRPr="000A3E79" w:rsidRDefault="00BA3138" w:rsidP="00BA3138">
      <w:pPr>
        <w:spacing w:line="500" w:lineRule="exact"/>
        <w:ind w:firstLineChars="200" w:firstLine="600"/>
        <w:rPr>
          <w:rFonts w:ascii="仿宋" w:eastAsia="仿宋" w:hAnsi="仿宋"/>
          <w:sz w:val="30"/>
          <w:szCs w:val="30"/>
        </w:rPr>
      </w:pPr>
      <w:r>
        <w:rPr>
          <w:rFonts w:ascii="仿宋" w:eastAsia="仿宋" w:hAnsi="仿宋" w:hint="eastAsia"/>
          <w:sz w:val="30"/>
          <w:szCs w:val="30"/>
        </w:rPr>
        <w:t>（四）风险抵补状况。年末资产减值准备余额</w:t>
      </w:r>
      <w:r w:rsidRPr="000A3E79">
        <w:rPr>
          <w:rFonts w:ascii="仿宋" w:eastAsia="仿宋" w:hAnsi="仿宋" w:hint="eastAsia"/>
          <w:sz w:val="30"/>
          <w:szCs w:val="30"/>
        </w:rPr>
        <w:t>68,321万元，其中贷款损失准备余额63,376万元，非信贷资产减值准备4,945万元。拨贷比和实际拨备覆盖率分别为2.90%和</w:t>
      </w:r>
      <w:r w:rsidRPr="000A3E79">
        <w:rPr>
          <w:rFonts w:ascii="仿宋" w:eastAsia="仿宋" w:hAnsi="仿宋"/>
          <w:sz w:val="30"/>
          <w:szCs w:val="30"/>
        </w:rPr>
        <w:t>3</w:t>
      </w:r>
      <w:r w:rsidRPr="000A3E79">
        <w:rPr>
          <w:rFonts w:ascii="仿宋" w:eastAsia="仿宋" w:hAnsi="仿宋" w:hint="eastAsia"/>
          <w:sz w:val="30"/>
          <w:szCs w:val="30"/>
        </w:rPr>
        <w:t>54.77%，分别超过标准0.4和104.77个百分点，非信贷金融资产减值准备率0.65%，资本充足率为12.24%，超过标准1.74个百分点，抵御风险能力相对较强。</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（五）财务收入状况。全年实现各项总收入132,522万元，同比增加17,984万元，增幅15.70%，完成预算110.42%。其中营业净收入71,305万元，同比增加8,554万元，增幅13.63%。</w:t>
      </w:r>
    </w:p>
    <w:p w:rsidR="00BA3138" w:rsidRPr="000A3E79" w:rsidRDefault="00BA3138" w:rsidP="00BA3138">
      <w:pPr>
        <w:spacing w:line="500" w:lineRule="exact"/>
        <w:ind w:firstLineChars="200" w:firstLine="600"/>
        <w:jc w:val="left"/>
        <w:rPr>
          <w:rFonts w:ascii="仿宋" w:eastAsia="仿宋" w:hAnsi="仿宋"/>
          <w:sz w:val="30"/>
          <w:szCs w:val="30"/>
        </w:rPr>
      </w:pPr>
      <w:r w:rsidRPr="000A3E79">
        <w:rPr>
          <w:rFonts w:ascii="仿宋" w:eastAsia="仿宋" w:hAnsi="仿宋" w:hint="eastAsia"/>
          <w:sz w:val="30"/>
          <w:szCs w:val="30"/>
        </w:rPr>
        <w:t>1.实现贷款利息收入100,842万元（含票据利息净收入和分期付款收入），同比增加12,615万元，增幅14.81%，其中因规模扩张增收17,538万元；年末全口径贷款百元收息率4.90%，同比减少24BP，因利率下降导致利息收入同比减少4,922万元。</w:t>
      </w:r>
    </w:p>
    <w:p w:rsidR="00BA3138" w:rsidRPr="000A3E79" w:rsidRDefault="00BA3138" w:rsidP="00BA3138">
      <w:pPr>
        <w:tabs>
          <w:tab w:val="left" w:pos="6780"/>
        </w:tabs>
        <w:spacing w:line="500" w:lineRule="exact"/>
        <w:ind w:firstLineChars="200" w:firstLine="600"/>
        <w:jc w:val="left"/>
        <w:rPr>
          <w:rFonts w:ascii="仿宋" w:eastAsia="仿宋" w:hAnsi="仿宋"/>
          <w:sz w:val="30"/>
          <w:szCs w:val="30"/>
        </w:rPr>
      </w:pPr>
      <w:r w:rsidRPr="000A3E79">
        <w:rPr>
          <w:rFonts w:ascii="仿宋" w:eastAsia="仿宋" w:hAnsi="仿宋" w:hint="eastAsia"/>
          <w:sz w:val="30"/>
          <w:szCs w:val="30"/>
        </w:rPr>
        <w:t>2.实现资金业务净收入24,733万元，同比增加5,359万元，增幅27.66%，占营业净收入的比重为34.69%，提升3.19个百分点。其中实现投资收益22,912万元，同比增加7,538万元；综合资金业务收益率为2.68%，同比提升30BP。</w:t>
      </w:r>
    </w:p>
    <w:p w:rsidR="00BA3138" w:rsidRPr="000A3E79" w:rsidRDefault="00BA3138" w:rsidP="00BA3138">
      <w:pPr>
        <w:tabs>
          <w:tab w:val="left" w:pos="6780"/>
        </w:tabs>
        <w:spacing w:line="500" w:lineRule="exact"/>
        <w:ind w:firstLineChars="200" w:firstLine="600"/>
        <w:jc w:val="left"/>
        <w:rPr>
          <w:rFonts w:ascii="仿宋" w:eastAsia="仿宋" w:hAnsi="仿宋"/>
          <w:sz w:val="30"/>
          <w:szCs w:val="30"/>
        </w:rPr>
      </w:pPr>
      <w:r w:rsidRPr="000A3E79">
        <w:rPr>
          <w:rFonts w:ascii="仿宋" w:eastAsia="仿宋" w:hAnsi="仿宋" w:hint="eastAsia"/>
          <w:sz w:val="30"/>
          <w:szCs w:val="30"/>
        </w:rPr>
        <w:t>3.实现中间业务收入4,784万元，同比减少1,011万元，主要是本年度央行补助资金减少。</w:t>
      </w:r>
    </w:p>
    <w:p w:rsidR="00BA3138" w:rsidRPr="000A3E79" w:rsidRDefault="00BA3138" w:rsidP="00BA3138">
      <w:pPr>
        <w:tabs>
          <w:tab w:val="left" w:pos="6780"/>
        </w:tabs>
        <w:spacing w:line="500" w:lineRule="exact"/>
        <w:ind w:firstLineChars="200" w:firstLine="600"/>
        <w:jc w:val="left"/>
        <w:rPr>
          <w:rFonts w:ascii="仿宋" w:eastAsia="仿宋" w:hAnsi="仿宋"/>
          <w:sz w:val="30"/>
          <w:szCs w:val="30"/>
        </w:rPr>
      </w:pPr>
      <w:r w:rsidRPr="000A3E79">
        <w:rPr>
          <w:rFonts w:ascii="仿宋" w:eastAsia="仿宋" w:hAnsi="仿宋" w:hint="eastAsia"/>
          <w:sz w:val="30"/>
          <w:szCs w:val="30"/>
        </w:rPr>
        <w:t>（六）财务成本费用支出。全年共发生各项支出101,104万元，</w:t>
      </w:r>
      <w:r w:rsidRPr="000A3E79">
        <w:rPr>
          <w:rFonts w:ascii="仿宋" w:eastAsia="仿宋" w:hAnsi="仿宋" w:hint="eastAsia"/>
          <w:sz w:val="30"/>
          <w:szCs w:val="30"/>
        </w:rPr>
        <w:lastRenderedPageBreak/>
        <w:t>同比增加7,066万元。</w:t>
      </w:r>
    </w:p>
    <w:p w:rsidR="00BA3138" w:rsidRPr="000A3E79" w:rsidRDefault="00BA3138" w:rsidP="00BA3138">
      <w:pPr>
        <w:tabs>
          <w:tab w:val="left" w:pos="6780"/>
        </w:tabs>
        <w:spacing w:line="500" w:lineRule="exact"/>
        <w:ind w:firstLineChars="200" w:firstLine="600"/>
        <w:jc w:val="left"/>
        <w:rPr>
          <w:rFonts w:ascii="仿宋" w:eastAsia="仿宋" w:hAnsi="仿宋"/>
          <w:sz w:val="30"/>
          <w:szCs w:val="30"/>
        </w:rPr>
      </w:pPr>
      <w:r w:rsidRPr="000A3E79">
        <w:rPr>
          <w:rFonts w:ascii="仿宋" w:eastAsia="仿宋" w:hAnsi="仿宋" w:hint="eastAsia"/>
          <w:sz w:val="30"/>
          <w:szCs w:val="30"/>
        </w:rPr>
        <w:t>1.全年发生存款利息支出55,912万元，同比增加6,972万元，增幅14.25%。年末存款付息率为2.11%，同比下降7BP，保持存款付息水平下降趋势。</w:t>
      </w:r>
    </w:p>
    <w:p w:rsidR="00BA3138" w:rsidRPr="000A3E79" w:rsidRDefault="00BA3138" w:rsidP="00BA3138">
      <w:pPr>
        <w:tabs>
          <w:tab w:val="left" w:pos="6780"/>
        </w:tabs>
        <w:spacing w:line="500" w:lineRule="exact"/>
        <w:ind w:firstLineChars="200" w:firstLine="600"/>
        <w:jc w:val="left"/>
        <w:rPr>
          <w:rFonts w:ascii="仿宋" w:eastAsia="仿宋" w:hAnsi="仿宋"/>
          <w:sz w:val="30"/>
          <w:szCs w:val="30"/>
        </w:rPr>
      </w:pPr>
      <w:r w:rsidRPr="000A3E79">
        <w:rPr>
          <w:rFonts w:ascii="仿宋" w:eastAsia="仿宋" w:hAnsi="仿宋" w:hint="eastAsia"/>
          <w:sz w:val="30"/>
          <w:szCs w:val="30"/>
        </w:rPr>
        <w:t>2.全年金融机构往来利息支出3,230万元，比上年增加2,309万元，主要是向央行再借款增加和资金业务杠杆运用。</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3.全年手续费及佣金支出1,748万元，比上年度减少14万元。</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4.全年列支各项费用达到30,918万元，同比增加3,574万元，其中对公费用列支11,184万元，同比增加2,295万元；个人费用列支19,735万元，同比增加1,279万元。年末成本收入比43.36%，同比下降0.22个百分点，其中剔除省行会计科目调整因素后同口径成本收入比为41.54%，同比下降2.04个百分点。</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5.今年共计提资产减值准备8,150万元。</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6.全年共列支各项税金及附加665万元，同比增加56万元。</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7.全年共列支其他业务成本49万元，同比减少14万元。</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（七）营业外收支状况</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1.发生营业外收入324万元，同比增加164万元。</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2.发生营业外支出430万元，同比减少1453万元，主要是省行会计科目调整将原先列支在本科目的省行科技服务及清算服务费用1154万列支到业务及管理费用科目。</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（八）利润反映和分配状况</w:t>
      </w:r>
    </w:p>
    <w:p w:rsidR="00BA3138" w:rsidRPr="000A3E79" w:rsidRDefault="00BA3138" w:rsidP="00BA3138">
      <w:pPr>
        <w:spacing w:line="500" w:lineRule="exact"/>
        <w:ind w:firstLine="540"/>
        <w:rPr>
          <w:rFonts w:ascii="仿宋" w:eastAsia="仿宋" w:hAnsi="仿宋"/>
          <w:sz w:val="30"/>
          <w:szCs w:val="30"/>
        </w:rPr>
      </w:pPr>
      <w:r w:rsidRPr="000A3E79">
        <w:rPr>
          <w:rFonts w:ascii="仿宋" w:eastAsia="仿宋" w:hAnsi="仿宋" w:hint="eastAsia"/>
          <w:sz w:val="30"/>
          <w:szCs w:val="30"/>
        </w:rPr>
        <w:t>全年账面利润总额31,417万元，同比增加10,918万元；实现净利润23,425万元，同比增加9,345万元。实现拨备前利润39,567万元，同比增加6,555万元，增幅19.86%。</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根据《金融企业财务准则》、本行章程以及省行、监管部门关于股金分红、利润分配有关规定，本行2023年度利润分配方案经第三届董事会第二十二次会议审议，提交本行2023年度股东大会审议通过。</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根据</w:t>
      </w:r>
      <w:r>
        <w:rPr>
          <w:rFonts w:ascii="仿宋" w:eastAsia="仿宋" w:hAnsi="仿宋" w:hint="eastAsia"/>
          <w:sz w:val="30"/>
          <w:szCs w:val="30"/>
        </w:rPr>
        <w:t>本行</w:t>
      </w:r>
      <w:r w:rsidRPr="000A3E79">
        <w:rPr>
          <w:rFonts w:ascii="仿宋" w:eastAsia="仿宋" w:hAnsi="仿宋" w:hint="eastAsia"/>
          <w:sz w:val="30"/>
          <w:szCs w:val="30"/>
        </w:rPr>
        <w:t>章程规定，利润分配顺序为：</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lastRenderedPageBreak/>
        <w:t>1.弥补本行历年亏损挂账；</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2.按税后利润不低于10%的比例提取法定盈余公积金；</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3.根据承担风险和损失资产余额的一定比例提取一般准备金；</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4.提取任意盈余公积金；</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5.按股份向股东支付现金红利或股金红利。</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按照《</w:t>
      </w:r>
      <w:r w:rsidRPr="00293DAF">
        <w:rPr>
          <w:rFonts w:ascii="仿宋" w:eastAsia="仿宋" w:hAnsi="仿宋"/>
          <w:sz w:val="30"/>
          <w:szCs w:val="30"/>
        </w:rPr>
        <w:t>浙江农商银行系统2023年度会计决算工作意见</w:t>
      </w:r>
      <w:r w:rsidRPr="000A3E79">
        <w:rPr>
          <w:rFonts w:ascii="仿宋" w:eastAsia="仿宋" w:hAnsi="仿宋" w:hint="eastAsia"/>
          <w:sz w:val="30"/>
          <w:szCs w:val="30"/>
        </w:rPr>
        <w:t>》要求和本行章程规定，2023年税后利润分配为：</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1.计提法定盈余公积金，按10%的比例提取法定盈余公积金23,425,044.37元。</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2.计提一般风险准备100,000,000.00元。</w:t>
      </w:r>
    </w:p>
    <w:p w:rsidR="00BA3138" w:rsidRPr="000A3E79" w:rsidRDefault="00BA3138" w:rsidP="00BA3138">
      <w:pPr>
        <w:spacing w:line="500" w:lineRule="exact"/>
        <w:rPr>
          <w:rFonts w:ascii="仿宋" w:eastAsia="仿宋" w:hAnsi="仿宋"/>
          <w:sz w:val="30"/>
          <w:szCs w:val="30"/>
        </w:rPr>
      </w:pPr>
      <w:r w:rsidRPr="000A3E79">
        <w:rPr>
          <w:rFonts w:ascii="仿宋" w:eastAsia="仿宋" w:hAnsi="仿宋" w:hint="eastAsia"/>
          <w:sz w:val="30"/>
          <w:szCs w:val="30"/>
        </w:rPr>
        <w:t xml:space="preserve">    3.计提股金红利，按股本金9%的比例提取应付股金红利46,395,397.90元，其中按4.5%分配现金股利23,197,815.90元，按4.5%分配股金股利23,197,582.00元。</w:t>
      </w:r>
    </w:p>
    <w:p w:rsidR="00BA3138" w:rsidRPr="000A3E79" w:rsidRDefault="00BA3138" w:rsidP="00BA3138">
      <w:pPr>
        <w:spacing w:line="500" w:lineRule="exact"/>
        <w:rPr>
          <w:rFonts w:ascii="仿宋" w:eastAsia="仿宋" w:hAnsi="仿宋"/>
          <w:sz w:val="30"/>
          <w:szCs w:val="30"/>
        </w:rPr>
      </w:pPr>
      <w:r w:rsidRPr="000A3E79">
        <w:rPr>
          <w:rFonts w:ascii="仿宋" w:eastAsia="仿宋" w:hAnsi="仿宋" w:hint="eastAsia"/>
          <w:sz w:val="30"/>
          <w:szCs w:val="30"/>
        </w:rPr>
        <w:t xml:space="preserve">    三、按上述分配后，2023年度当年未分配利润64,430,001.41元，加上以前年度未分配利润620,203,057.21元，剩余共计未分配利润684,633,058.62元。</w:t>
      </w:r>
    </w:p>
    <w:p w:rsidR="00BA3138" w:rsidRPr="006C6E50" w:rsidRDefault="00BA3138" w:rsidP="00BA3138">
      <w:pPr>
        <w:spacing w:line="500" w:lineRule="exact"/>
        <w:ind w:firstLineChars="200" w:firstLine="560"/>
        <w:rPr>
          <w:rFonts w:ascii="宋体" w:hAnsi="宋体"/>
          <w:sz w:val="28"/>
          <w:szCs w:val="28"/>
        </w:rPr>
      </w:pPr>
    </w:p>
    <w:p w:rsidR="00BA3138" w:rsidRDefault="00BA3138" w:rsidP="00BA3138">
      <w:pPr>
        <w:spacing w:line="500" w:lineRule="exact"/>
        <w:rPr>
          <w:rFonts w:ascii="宋体" w:hAnsi="宋体"/>
          <w:sz w:val="28"/>
          <w:szCs w:val="28"/>
        </w:rPr>
      </w:pPr>
    </w:p>
    <w:p w:rsidR="00BA3138" w:rsidRDefault="00BA3138" w:rsidP="00BA3138">
      <w:pPr>
        <w:spacing w:line="500" w:lineRule="exact"/>
        <w:rPr>
          <w:rFonts w:ascii="宋体" w:hAnsi="宋体"/>
          <w:sz w:val="28"/>
          <w:szCs w:val="28"/>
        </w:rPr>
      </w:pPr>
    </w:p>
    <w:p w:rsidR="00BA3138" w:rsidRDefault="00BA3138" w:rsidP="00BA3138">
      <w:pPr>
        <w:spacing w:line="500" w:lineRule="exact"/>
        <w:rPr>
          <w:rFonts w:ascii="宋体" w:hAnsi="宋体"/>
          <w:sz w:val="28"/>
          <w:szCs w:val="28"/>
        </w:rPr>
      </w:pPr>
    </w:p>
    <w:p w:rsidR="00BA3138" w:rsidRDefault="00BA3138" w:rsidP="00BA3138">
      <w:pPr>
        <w:spacing w:line="500" w:lineRule="exact"/>
        <w:rPr>
          <w:rFonts w:ascii="宋体" w:hAnsi="宋体"/>
          <w:sz w:val="28"/>
          <w:szCs w:val="28"/>
        </w:rPr>
      </w:pPr>
    </w:p>
    <w:p w:rsidR="00BA3138" w:rsidRDefault="00BA3138" w:rsidP="00BA3138">
      <w:pPr>
        <w:spacing w:line="500" w:lineRule="exact"/>
        <w:rPr>
          <w:rFonts w:ascii="宋体" w:hAnsi="宋体"/>
          <w:sz w:val="28"/>
          <w:szCs w:val="28"/>
        </w:rPr>
      </w:pPr>
    </w:p>
    <w:p w:rsidR="000C762A" w:rsidRDefault="000C762A" w:rsidP="00BA3138">
      <w:pPr>
        <w:spacing w:line="500" w:lineRule="exact"/>
        <w:rPr>
          <w:rFonts w:ascii="宋体" w:hAnsi="宋体"/>
          <w:sz w:val="28"/>
          <w:szCs w:val="28"/>
        </w:rPr>
      </w:pPr>
    </w:p>
    <w:p w:rsidR="000C762A" w:rsidRDefault="000C762A" w:rsidP="00BA3138">
      <w:pPr>
        <w:spacing w:line="500" w:lineRule="exact"/>
        <w:rPr>
          <w:rFonts w:ascii="宋体" w:hAnsi="宋体"/>
          <w:sz w:val="28"/>
          <w:szCs w:val="28"/>
        </w:rPr>
      </w:pPr>
    </w:p>
    <w:p w:rsidR="000C762A" w:rsidRDefault="000C762A" w:rsidP="00BA3138">
      <w:pPr>
        <w:spacing w:line="500" w:lineRule="exact"/>
        <w:rPr>
          <w:rFonts w:ascii="宋体" w:hAnsi="宋体"/>
          <w:sz w:val="28"/>
          <w:szCs w:val="28"/>
        </w:rPr>
      </w:pPr>
    </w:p>
    <w:p w:rsidR="000C762A" w:rsidRDefault="000C762A" w:rsidP="00BA3138">
      <w:pPr>
        <w:spacing w:line="500" w:lineRule="exact"/>
        <w:rPr>
          <w:rFonts w:ascii="宋体" w:hAnsi="宋体"/>
          <w:sz w:val="28"/>
          <w:szCs w:val="28"/>
        </w:rPr>
      </w:pPr>
    </w:p>
    <w:p w:rsidR="000C762A" w:rsidRDefault="000C762A" w:rsidP="00BA3138">
      <w:pPr>
        <w:spacing w:line="500" w:lineRule="exact"/>
        <w:rPr>
          <w:rFonts w:ascii="宋体" w:hAnsi="宋体"/>
          <w:sz w:val="28"/>
          <w:szCs w:val="28"/>
        </w:rPr>
      </w:pPr>
    </w:p>
    <w:p w:rsidR="000C762A" w:rsidRPr="006C6E50" w:rsidRDefault="000C762A" w:rsidP="00BA3138">
      <w:pPr>
        <w:spacing w:line="500" w:lineRule="exact"/>
        <w:rPr>
          <w:rFonts w:ascii="宋体" w:hAnsi="宋体"/>
          <w:sz w:val="28"/>
          <w:szCs w:val="28"/>
        </w:rPr>
      </w:pPr>
    </w:p>
    <w:p w:rsidR="00BA3138" w:rsidRPr="006C6E50" w:rsidRDefault="00BA3138" w:rsidP="00BA3138">
      <w:pPr>
        <w:spacing w:line="500" w:lineRule="exact"/>
        <w:rPr>
          <w:rFonts w:ascii="宋体" w:hAnsi="宋体"/>
          <w:sz w:val="28"/>
          <w:szCs w:val="28"/>
        </w:rPr>
      </w:pPr>
      <w:r w:rsidRPr="006C6E50">
        <w:rPr>
          <w:rFonts w:ascii="宋体" w:hAnsi="宋体" w:hint="eastAsia"/>
          <w:sz w:val="28"/>
          <w:szCs w:val="28"/>
        </w:rPr>
        <w:lastRenderedPageBreak/>
        <w:t>附件</w:t>
      </w:r>
    </w:p>
    <w:p w:rsidR="00BA3138" w:rsidRDefault="00BA3138" w:rsidP="00BA3138">
      <w:pPr>
        <w:widowControl/>
        <w:spacing w:line="500" w:lineRule="exact"/>
        <w:ind w:firstLineChars="200" w:firstLine="560"/>
        <w:rPr>
          <w:rFonts w:ascii="仿宋_GB2312" w:eastAsia="仿宋_GB2312"/>
          <w:kern w:val="0"/>
          <w:sz w:val="28"/>
          <w:szCs w:val="28"/>
        </w:rPr>
      </w:pPr>
      <w:r w:rsidRPr="006C6E50">
        <w:rPr>
          <w:rFonts w:ascii="仿宋_GB2312" w:eastAsia="仿宋_GB2312"/>
          <w:kern w:val="0"/>
          <w:sz w:val="28"/>
          <w:szCs w:val="28"/>
        </w:rPr>
        <w:t>1</w:t>
      </w:r>
      <w:r w:rsidRPr="006C6E50">
        <w:rPr>
          <w:rFonts w:ascii="仿宋_GB2312" w:eastAsia="仿宋_GB2312" w:hint="eastAsia"/>
          <w:kern w:val="0"/>
          <w:sz w:val="28"/>
          <w:szCs w:val="28"/>
        </w:rPr>
        <w:t>、资产负债表</w:t>
      </w:r>
      <w:r w:rsidRPr="006C6E50">
        <w:rPr>
          <w:rFonts w:ascii="仿宋_GB2312" w:eastAsia="仿宋_GB2312"/>
          <w:kern w:val="0"/>
          <w:sz w:val="28"/>
          <w:szCs w:val="28"/>
        </w:rPr>
        <w:t xml:space="preserve">                                     </w:t>
      </w:r>
      <w:r w:rsidRPr="006C6E50">
        <w:rPr>
          <w:rFonts w:ascii="仿宋_GB2312" w:eastAsia="仿宋_GB2312" w:hint="eastAsia"/>
          <w:kern w:val="0"/>
          <w:sz w:val="28"/>
          <w:szCs w:val="28"/>
        </w:rPr>
        <w:t>单位：元</w:t>
      </w:r>
    </w:p>
    <w:tbl>
      <w:tblPr>
        <w:tblW w:w="10489"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1746"/>
        <w:gridCol w:w="1798"/>
        <w:gridCol w:w="1559"/>
        <w:gridCol w:w="1843"/>
        <w:gridCol w:w="1842"/>
      </w:tblGrid>
      <w:tr w:rsidR="00BA3138" w:rsidRPr="00CA18C5" w:rsidTr="00025338">
        <w:trPr>
          <w:trHeight w:val="255"/>
        </w:trPr>
        <w:tc>
          <w:tcPr>
            <w:tcW w:w="1701" w:type="dxa"/>
            <w:tcBorders>
              <w:top w:val="single" w:sz="4" w:space="0" w:color="auto"/>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资产</w:t>
            </w:r>
          </w:p>
        </w:tc>
        <w:tc>
          <w:tcPr>
            <w:tcW w:w="1746" w:type="dxa"/>
            <w:tcBorders>
              <w:top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Pr>
                <w:rFonts w:ascii="宋体" w:hAnsi="宋体" w:cs="宋体" w:hint="eastAsia"/>
                <w:sz w:val="18"/>
                <w:szCs w:val="18"/>
              </w:rPr>
              <w:t>期末</w:t>
            </w:r>
            <w:r w:rsidRPr="00541934">
              <w:rPr>
                <w:rFonts w:ascii="宋体" w:hAnsi="宋体" w:cs="宋体" w:hint="eastAsia"/>
                <w:sz w:val="18"/>
                <w:szCs w:val="18"/>
              </w:rPr>
              <w:t>余额</w:t>
            </w:r>
          </w:p>
        </w:tc>
        <w:tc>
          <w:tcPr>
            <w:tcW w:w="1798" w:type="dxa"/>
            <w:tcBorders>
              <w:top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Pr>
                <w:rFonts w:ascii="宋体" w:hAnsi="宋体" w:cs="宋体" w:hint="eastAsia"/>
                <w:sz w:val="18"/>
                <w:szCs w:val="18"/>
              </w:rPr>
              <w:t>期初</w:t>
            </w:r>
            <w:r w:rsidRPr="00541934">
              <w:rPr>
                <w:rFonts w:ascii="宋体" w:hAnsi="宋体" w:cs="宋体" w:hint="eastAsia"/>
                <w:sz w:val="18"/>
                <w:szCs w:val="18"/>
              </w:rPr>
              <w:t>余额</w:t>
            </w:r>
          </w:p>
        </w:tc>
        <w:tc>
          <w:tcPr>
            <w:tcW w:w="1559" w:type="dxa"/>
            <w:tcBorders>
              <w:top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负债及所有者权益</w:t>
            </w:r>
          </w:p>
        </w:tc>
        <w:tc>
          <w:tcPr>
            <w:tcW w:w="1843" w:type="dxa"/>
            <w:tcBorders>
              <w:top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Pr>
                <w:rFonts w:ascii="宋体" w:hAnsi="宋体" w:cs="宋体" w:hint="eastAsia"/>
                <w:sz w:val="18"/>
                <w:szCs w:val="18"/>
              </w:rPr>
              <w:t>期末</w:t>
            </w:r>
            <w:r w:rsidRPr="00541934">
              <w:rPr>
                <w:rFonts w:ascii="宋体" w:hAnsi="宋体" w:cs="宋体" w:hint="eastAsia"/>
                <w:sz w:val="18"/>
                <w:szCs w:val="18"/>
              </w:rPr>
              <w:t>余额</w:t>
            </w:r>
          </w:p>
        </w:tc>
        <w:tc>
          <w:tcPr>
            <w:tcW w:w="1842" w:type="dxa"/>
            <w:tcBorders>
              <w:top w:val="single" w:sz="4" w:space="0" w:color="auto"/>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Pr>
                <w:rFonts w:ascii="宋体" w:hAnsi="宋体" w:cs="宋体" w:hint="eastAsia"/>
                <w:sz w:val="18"/>
                <w:szCs w:val="18"/>
              </w:rPr>
              <w:t>期初</w:t>
            </w:r>
            <w:r w:rsidRPr="00541934">
              <w:rPr>
                <w:rFonts w:ascii="宋体" w:hAnsi="宋体" w:cs="宋体" w:hint="eastAsia"/>
                <w:sz w:val="18"/>
                <w:szCs w:val="18"/>
              </w:rPr>
              <w:t>余额</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现金及存放中央银行款项</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2,056,430,747.49</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1,613,652,579.47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向中央银行借款</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986,591,444.44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478,223,013.70</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存放联行款项</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8,891,615.93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18,936,471.01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联行存放款项</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存放同业款项</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1,106,808,833.18</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1,024,927,403.70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同业及其他金融机构存放款</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9,817,958.86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5,180,910.13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贵金属</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拆入资金</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300,210,833.33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拆出资金</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426,965,144.25</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386,106,582.99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交易性金融负债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衍生金融资产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衍生金融负债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买入返售金融资产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卖出回购金融资产款</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202,535,973.29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298,045,720.55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其他应收款</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-1,775,883.44</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2,044,730.91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吸收存款</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29,038,861,432.07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24,629,012,662.25</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持有待售资产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应付职工薪酬</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21,815,706.92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14,087,954.15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发放贷款和垫款</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21,050,532,378.87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17,269,216,122.41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应交税费</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44,035,269.81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44,130,050.52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金融资产：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其他应付款</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45,818,485.26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47,558,790.77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交易性金融资产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持有待售负债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债权投资</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7,348,871,315.96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5,495,740,375.99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租赁负债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10,483,855.53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4,393,693.69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其他债权投资</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504,339,724.10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1,309,691,136.49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预计负债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155,610.72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738,529.04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其他权益工具投资</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25,000,000.00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25,000,000.00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应付债券</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长期股权投资</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递延所得税负债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324,307.30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投资性房地产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其他负债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12,570,112.24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1,822,747.04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固定资产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309,147,428.01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331,579,387.71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负债总计</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30,673,220,989.77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25,523,194,071.84</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在建工程</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3,163,396.10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3,220,340.97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所有者权益：</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使用权资产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11,589,428.80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5,264,865.86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实收资本（股本）</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515,507,013.00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500,492,190.00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无形资产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44,704,101.23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45,642,570.79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其中：法人股股本</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258,985,059.00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251,741,826.00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长期待摊费用</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14,363,462.36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13,962,096.26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其中：自然人股股本</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256,521,954.00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248,750,364.00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抵债资产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97,115.09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97,115.09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其他权益工具</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递延所得税资产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119,576,901.91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121,112,788.69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其中：优先股</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其他资产</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2,207,239.94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1,931,698.81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其中：永续债</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资本公积</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251,210,500.84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251,210,500.54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减：库存股</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其他综合收益</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3,165,590.91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3,022,523.54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盈余公积</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216,057,762.97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200,634,906.50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一般风险准备</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517,735,767.20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467,735,767.20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未分配利润</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854,015,325.09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721,836,307.53 </w:t>
            </w:r>
          </w:p>
        </w:tc>
      </w:tr>
      <w:tr w:rsidR="00BA3138" w:rsidRPr="00CA18C5" w:rsidTr="00025338">
        <w:trPr>
          <w:trHeight w:val="255"/>
        </w:trPr>
        <w:tc>
          <w:tcPr>
            <w:tcW w:w="1701" w:type="dxa"/>
            <w:tcBorders>
              <w:top w:val="nil"/>
              <w:left w:val="single" w:sz="4" w:space="0" w:color="auto"/>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46"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798"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　</w:t>
            </w:r>
          </w:p>
        </w:tc>
        <w:tc>
          <w:tcPr>
            <w:tcW w:w="1559"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所有者权益总计</w:t>
            </w:r>
          </w:p>
        </w:tc>
        <w:tc>
          <w:tcPr>
            <w:tcW w:w="1843" w:type="dxa"/>
            <w:tcBorders>
              <w:top w:val="nil"/>
              <w:bottom w:val="nil"/>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2,357,691,960.01 </w:t>
            </w:r>
          </w:p>
        </w:tc>
        <w:tc>
          <w:tcPr>
            <w:tcW w:w="1842" w:type="dxa"/>
            <w:tcBorders>
              <w:top w:val="nil"/>
              <w:bottom w:val="nil"/>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2,144,932,195.31 </w:t>
            </w:r>
          </w:p>
        </w:tc>
      </w:tr>
      <w:tr w:rsidR="00BA3138" w:rsidRPr="00CA18C5" w:rsidTr="00025338">
        <w:trPr>
          <w:trHeight w:val="255"/>
        </w:trPr>
        <w:tc>
          <w:tcPr>
            <w:tcW w:w="1701" w:type="dxa"/>
            <w:tcBorders>
              <w:top w:val="nil"/>
              <w:left w:val="single" w:sz="4" w:space="0" w:color="auto"/>
              <w:bottom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资产总计</w:t>
            </w:r>
          </w:p>
        </w:tc>
        <w:tc>
          <w:tcPr>
            <w:tcW w:w="1746" w:type="dxa"/>
            <w:tcBorders>
              <w:top w:val="nil"/>
              <w:bottom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33,030,912,949.78 </w:t>
            </w:r>
          </w:p>
        </w:tc>
        <w:tc>
          <w:tcPr>
            <w:tcW w:w="1798" w:type="dxa"/>
            <w:tcBorders>
              <w:top w:val="nil"/>
              <w:bottom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27,668,126,267.15 </w:t>
            </w:r>
          </w:p>
        </w:tc>
        <w:tc>
          <w:tcPr>
            <w:tcW w:w="1559" w:type="dxa"/>
            <w:tcBorders>
              <w:top w:val="nil"/>
              <w:bottom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负债及所有者权益总计</w:t>
            </w:r>
          </w:p>
        </w:tc>
        <w:tc>
          <w:tcPr>
            <w:tcW w:w="1843" w:type="dxa"/>
            <w:tcBorders>
              <w:top w:val="nil"/>
              <w:bottom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 xml:space="preserve">33,030,912,949.78 </w:t>
            </w:r>
          </w:p>
        </w:tc>
        <w:tc>
          <w:tcPr>
            <w:tcW w:w="1842" w:type="dxa"/>
            <w:tcBorders>
              <w:top w:val="nil"/>
              <w:bottom w:val="single" w:sz="4" w:space="0" w:color="auto"/>
              <w:right w:val="single" w:sz="4" w:space="0" w:color="auto"/>
            </w:tcBorders>
            <w:shd w:val="clear" w:color="000000" w:fill="FFFFFF"/>
            <w:vAlign w:val="center"/>
            <w:hideMark/>
          </w:tcPr>
          <w:p w:rsidR="00BA3138" w:rsidRPr="00CA18C5" w:rsidRDefault="00BA3138" w:rsidP="00025338">
            <w:pPr>
              <w:widowControl/>
              <w:spacing w:line="300" w:lineRule="exact"/>
              <w:jc w:val="left"/>
              <w:rPr>
                <w:rFonts w:ascii="宋体" w:hAnsi="宋体" w:cs="宋体"/>
                <w:sz w:val="18"/>
                <w:szCs w:val="18"/>
              </w:rPr>
            </w:pPr>
            <w:r w:rsidRPr="00CA18C5">
              <w:rPr>
                <w:rFonts w:ascii="宋体" w:hAnsi="宋体" w:cs="宋体" w:hint="eastAsia"/>
                <w:sz w:val="18"/>
                <w:szCs w:val="18"/>
              </w:rPr>
              <w:t>27,668,126,267.15</w:t>
            </w:r>
          </w:p>
        </w:tc>
      </w:tr>
    </w:tbl>
    <w:p w:rsidR="00BA3138" w:rsidRDefault="00BA3138" w:rsidP="00BA3138">
      <w:pPr>
        <w:spacing w:line="500" w:lineRule="exact"/>
        <w:ind w:firstLineChars="200" w:firstLine="560"/>
        <w:outlineLvl w:val="1"/>
        <w:rPr>
          <w:rFonts w:ascii="仿宋_GB2312" w:eastAsia="仿宋_GB2312" w:hAnsi="宋体"/>
          <w:sz w:val="28"/>
          <w:szCs w:val="28"/>
        </w:rPr>
      </w:pPr>
      <w:r w:rsidRPr="006C6E50">
        <w:rPr>
          <w:rFonts w:ascii="仿宋_GB2312" w:eastAsia="仿宋_GB2312" w:hAnsi="宋体"/>
          <w:sz w:val="28"/>
          <w:szCs w:val="28"/>
        </w:rPr>
        <w:lastRenderedPageBreak/>
        <w:t>2</w:t>
      </w:r>
      <w:r w:rsidRPr="006C6E50">
        <w:rPr>
          <w:rFonts w:ascii="仿宋_GB2312" w:eastAsia="仿宋_GB2312" w:hAnsi="宋体" w:hint="eastAsia"/>
          <w:sz w:val="28"/>
          <w:szCs w:val="28"/>
        </w:rPr>
        <w:t>、利润表</w:t>
      </w:r>
      <w:r w:rsidRPr="006C6E50">
        <w:rPr>
          <w:rFonts w:ascii="仿宋_GB2312" w:eastAsia="仿宋_GB2312" w:hAnsi="宋体"/>
          <w:sz w:val="28"/>
          <w:szCs w:val="28"/>
        </w:rPr>
        <w:t xml:space="preserve">                                   </w:t>
      </w:r>
      <w:r w:rsidRPr="006C6E50">
        <w:rPr>
          <w:rFonts w:ascii="仿宋_GB2312" w:eastAsia="仿宋_GB2312" w:hAnsi="宋体" w:hint="eastAsia"/>
          <w:sz w:val="28"/>
          <w:szCs w:val="28"/>
        </w:rPr>
        <w:t>单位：元</w:t>
      </w:r>
    </w:p>
    <w:tbl>
      <w:tblPr>
        <w:tblW w:w="9214" w:type="dxa"/>
        <w:tblInd w:w="-34" w:type="dxa"/>
        <w:tblBorders>
          <w:top w:val="single" w:sz="8" w:space="0" w:color="auto"/>
          <w:left w:val="single" w:sz="8" w:space="0" w:color="auto"/>
          <w:bottom w:val="single" w:sz="8" w:space="0" w:color="auto"/>
          <w:right w:val="single" w:sz="8" w:space="0" w:color="auto"/>
        </w:tblBorders>
        <w:tblLook w:val="04A0"/>
      </w:tblPr>
      <w:tblGrid>
        <w:gridCol w:w="4820"/>
        <w:gridCol w:w="1985"/>
        <w:gridCol w:w="2409"/>
      </w:tblGrid>
      <w:tr w:rsidR="00BA3138" w:rsidRPr="00CA18C5" w:rsidTr="00025338">
        <w:trPr>
          <w:trHeight w:val="255"/>
        </w:trPr>
        <w:tc>
          <w:tcPr>
            <w:tcW w:w="4820" w:type="dxa"/>
            <w:shd w:val="clear" w:color="auto" w:fill="auto"/>
            <w:noWrap/>
            <w:vAlign w:val="center"/>
            <w:hideMark/>
          </w:tcPr>
          <w:p w:rsidR="00BA3138" w:rsidRPr="00CA18C5" w:rsidRDefault="00BA3138" w:rsidP="00025338">
            <w:pPr>
              <w:widowControl/>
              <w:spacing w:line="240" w:lineRule="exact"/>
              <w:jc w:val="left"/>
              <w:rPr>
                <w:rFonts w:ascii="宋体" w:hAnsi="宋体" w:cs="宋体"/>
                <w:sz w:val="18"/>
                <w:szCs w:val="18"/>
              </w:rPr>
            </w:pPr>
            <w:r w:rsidRPr="00CA18C5">
              <w:rPr>
                <w:rFonts w:ascii="宋体" w:hAnsi="宋体" w:cs="宋体" w:hint="eastAsia"/>
                <w:sz w:val="18"/>
                <w:szCs w:val="18"/>
              </w:rPr>
              <w:t>项目</w:t>
            </w:r>
          </w:p>
        </w:tc>
        <w:tc>
          <w:tcPr>
            <w:tcW w:w="1985" w:type="dxa"/>
            <w:shd w:val="clear" w:color="auto" w:fill="auto"/>
            <w:noWrap/>
            <w:vAlign w:val="center"/>
            <w:hideMark/>
          </w:tcPr>
          <w:p w:rsidR="00BA3138" w:rsidRPr="00CA18C5" w:rsidRDefault="00BA3138" w:rsidP="00025338">
            <w:pPr>
              <w:widowControl/>
              <w:spacing w:line="240" w:lineRule="exact"/>
              <w:jc w:val="left"/>
              <w:rPr>
                <w:rFonts w:ascii="宋体" w:hAnsi="宋体" w:cs="宋体"/>
                <w:sz w:val="18"/>
                <w:szCs w:val="18"/>
              </w:rPr>
            </w:pPr>
            <w:r>
              <w:rPr>
                <w:rFonts w:ascii="宋体" w:hAnsi="宋体" w:cs="宋体" w:hint="eastAsia"/>
                <w:sz w:val="18"/>
                <w:szCs w:val="18"/>
              </w:rPr>
              <w:t>2022年</w:t>
            </w:r>
          </w:p>
        </w:tc>
        <w:tc>
          <w:tcPr>
            <w:tcW w:w="2409" w:type="dxa"/>
            <w:shd w:val="clear" w:color="auto" w:fill="auto"/>
            <w:noWrap/>
            <w:vAlign w:val="center"/>
            <w:hideMark/>
          </w:tcPr>
          <w:p w:rsidR="00BA3138" w:rsidRPr="00CA18C5" w:rsidRDefault="00BA3138" w:rsidP="00025338">
            <w:pPr>
              <w:widowControl/>
              <w:spacing w:line="240" w:lineRule="exact"/>
              <w:jc w:val="left"/>
              <w:rPr>
                <w:rFonts w:ascii="宋体" w:hAnsi="宋体" w:cs="宋体"/>
                <w:sz w:val="18"/>
                <w:szCs w:val="18"/>
              </w:rPr>
            </w:pPr>
            <w:r>
              <w:rPr>
                <w:rFonts w:ascii="宋体" w:hAnsi="宋体" w:cs="宋体" w:hint="eastAsia"/>
                <w:sz w:val="18"/>
                <w:szCs w:val="18"/>
              </w:rPr>
              <w:t>2023年</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一、营业总收入</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627,513,063.92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713,050,125.47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（一）利息净收入</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587,183,509.28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682,693,522.79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利息收入</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1,085,819,950.91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1,274,132,055.15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利息支出</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498,636,441.63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591,438,532.36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（二）手续费及佣金净收入</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-11,273,485.84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-11,712,732.71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手续费及佣金收入</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6,350,371.72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5,771,999.83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手续费及佣金支出</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17,623,857.56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17,484,732.54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（三）投资收益（损失以"-"号填列）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-585,475.73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13,931,024.96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其中：对联营企业和合营企业的投资收益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以摊余成本计量的金融资产终止确认产生的收入（损失以"-"号填列）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11,732,501.68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（四）其他收益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36,696,599.89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16,059,298.26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（五）公允价值变动收益（损失以"-"号填列）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（六）汇兑收益（损失以"-"号填列）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4,851,190.12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3,431,680.93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（七）其他业务收入</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7,250,835.82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7,872,310.04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（八）资产处置收益（损失以"-"号填列）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3,389,890.38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775,021.20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二、营业总支出</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405,295,477.15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397,821,498.79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（一）税金及附加</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6,086,487.89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6,646,107.78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（二）业务及管理费</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273,447,091.27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309,184,072.68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（三）信用减值损失</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122,420,759.38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81,500,983.53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（四）其他资产减值损失</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2,710,259.91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（五）其他业务成本</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630,878.70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490,334.80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三、营业利润（亏损以"-"号填列）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222,217,586.77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315,228,626.68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加：营业外收入</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1,606,301.91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3,241,931.20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减：营业外支出</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18,830,123.82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4,298,881.95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四、利润总额（亏损以"-"号填列）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204,993,764.86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314,171,675.93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减：所得税费用</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64,165,906.89</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79,921,232.25</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五、净利润（亏损以"-"号填列）</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140,827,857.97</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234,250,443.68</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归属于母公司所有者的净利润</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少数股东损益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六、其他综合收益的税后净额</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787,013.29</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143,067.37</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（一）不能重分类进损益的其他综合收益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1.重新计量设定受益计划变动额</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2.权益法下不能转损益的其他综合收益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3.其他权益工具投资公允价值变动</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4.其他不可转损益综合收益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（二）将重分类进损益的其他综合收益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787,013.29</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143,067.37</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1.权益法下可转损益的其他综合收益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r>
              <w:rPr>
                <w:rFonts w:ascii="宋体" w:hAnsi="宋体" w:cs="宋体" w:hint="eastAsia"/>
                <w:sz w:val="18"/>
                <w:szCs w:val="18"/>
              </w:rPr>
              <w:t xml:space="preserve">           </w:t>
            </w:r>
            <w:r w:rsidRPr="009A303C">
              <w:rPr>
                <w:rFonts w:ascii="宋体" w:hAnsi="宋体" w:cs="宋体" w:hint="eastAsia"/>
                <w:sz w:val="18"/>
                <w:szCs w:val="18"/>
              </w:rPr>
              <w:t>2.以公允价值计量且其变动计入其他综合收益的债务工具投资公允价值变动</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-3,012,984.18</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4,162,339.68</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50" w:firstLine="1350"/>
              <w:jc w:val="left"/>
              <w:rPr>
                <w:rFonts w:ascii="宋体" w:hAnsi="宋体" w:cs="宋体"/>
                <w:sz w:val="18"/>
                <w:szCs w:val="18"/>
              </w:rPr>
            </w:pPr>
            <w:r w:rsidRPr="009A303C">
              <w:rPr>
                <w:rFonts w:ascii="宋体" w:hAnsi="宋体" w:cs="宋体" w:hint="eastAsia"/>
                <w:sz w:val="18"/>
                <w:szCs w:val="18"/>
              </w:rPr>
              <w:t>3.金融资产重分类计入其他综合收益的金额</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r>
              <w:rPr>
                <w:rFonts w:ascii="宋体" w:hAnsi="宋体" w:cs="宋体" w:hint="eastAsia"/>
                <w:sz w:val="18"/>
                <w:szCs w:val="18"/>
              </w:rPr>
              <w:t xml:space="preserve">          </w:t>
            </w:r>
            <w:r w:rsidRPr="009A303C">
              <w:rPr>
                <w:rFonts w:ascii="宋体" w:hAnsi="宋体" w:cs="宋体" w:hint="eastAsia"/>
                <w:sz w:val="18"/>
                <w:szCs w:val="18"/>
              </w:rPr>
              <w:t>4.以公允价值计量且其变动计入其他综合收益的债务工具投资信用损失准备</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3,799,997.47</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-4,019,272.31</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ind w:firstLineChars="700" w:firstLine="1260"/>
              <w:jc w:val="left"/>
              <w:rPr>
                <w:rFonts w:ascii="宋体" w:hAnsi="宋体" w:cs="宋体"/>
                <w:sz w:val="18"/>
                <w:szCs w:val="18"/>
              </w:rPr>
            </w:pPr>
            <w:r w:rsidRPr="009A303C">
              <w:rPr>
                <w:rFonts w:ascii="宋体" w:hAnsi="宋体" w:cs="宋体" w:hint="eastAsia"/>
                <w:sz w:val="18"/>
                <w:szCs w:val="18"/>
              </w:rPr>
              <w:t>5.其他可转损益综合收益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七、综合收益总额</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141,614,871.26</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234,393,511.05</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八、每股收益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 xml:space="preserve">　</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（一）基本每股收益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0.28</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0.46</w:t>
            </w:r>
          </w:p>
        </w:tc>
      </w:tr>
      <w:tr w:rsidR="00BA3138" w:rsidRPr="009A303C" w:rsidTr="00025338">
        <w:trPr>
          <w:trHeight w:val="255"/>
        </w:trPr>
        <w:tc>
          <w:tcPr>
            <w:tcW w:w="4820"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（二）稀释每股收益</w:t>
            </w:r>
          </w:p>
        </w:tc>
        <w:tc>
          <w:tcPr>
            <w:tcW w:w="1985"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0.28</w:t>
            </w:r>
          </w:p>
        </w:tc>
        <w:tc>
          <w:tcPr>
            <w:tcW w:w="2409" w:type="dxa"/>
            <w:shd w:val="clear" w:color="auto" w:fill="auto"/>
            <w:noWrap/>
            <w:vAlign w:val="center"/>
            <w:hideMark/>
          </w:tcPr>
          <w:p w:rsidR="00BA3138" w:rsidRPr="009A303C" w:rsidRDefault="00BA3138" w:rsidP="00025338">
            <w:pPr>
              <w:widowControl/>
              <w:spacing w:line="240" w:lineRule="exact"/>
              <w:jc w:val="left"/>
              <w:rPr>
                <w:rFonts w:ascii="宋体" w:hAnsi="宋体" w:cs="宋体"/>
                <w:sz w:val="18"/>
                <w:szCs w:val="18"/>
              </w:rPr>
            </w:pPr>
            <w:r w:rsidRPr="009A303C">
              <w:rPr>
                <w:rFonts w:ascii="宋体" w:hAnsi="宋体" w:cs="宋体" w:hint="eastAsia"/>
                <w:sz w:val="18"/>
                <w:szCs w:val="18"/>
              </w:rPr>
              <w:t>0.46</w:t>
            </w:r>
          </w:p>
        </w:tc>
      </w:tr>
    </w:tbl>
    <w:p w:rsidR="00BA3138" w:rsidRDefault="00BA3138" w:rsidP="00BA3138">
      <w:pPr>
        <w:spacing w:line="600" w:lineRule="exact"/>
        <w:rPr>
          <w:rFonts w:ascii="仿宋_GB2312" w:eastAsia="仿宋_GB2312" w:hAnsi="宋体"/>
          <w:sz w:val="28"/>
          <w:szCs w:val="28"/>
        </w:rPr>
      </w:pPr>
    </w:p>
    <w:p w:rsidR="00BA3138" w:rsidRDefault="00BA3138" w:rsidP="00BA3138">
      <w:pPr>
        <w:spacing w:line="600" w:lineRule="exact"/>
        <w:rPr>
          <w:rFonts w:ascii="仿宋_GB2312" w:eastAsia="仿宋_GB2312" w:hAnsi="宋体"/>
          <w:sz w:val="28"/>
          <w:szCs w:val="28"/>
        </w:rPr>
      </w:pPr>
      <w:r w:rsidRPr="004B7D8B">
        <w:rPr>
          <w:rFonts w:ascii="仿宋_GB2312" w:eastAsia="仿宋_GB2312" w:hAnsi="宋体" w:hint="eastAsia"/>
          <w:sz w:val="28"/>
          <w:szCs w:val="28"/>
        </w:rPr>
        <w:lastRenderedPageBreak/>
        <w:t>3、现金流量表</w:t>
      </w:r>
      <w:r>
        <w:rPr>
          <w:rFonts w:ascii="仿宋_GB2312" w:eastAsia="仿宋_GB2312" w:hAnsi="宋体" w:hint="eastAsia"/>
          <w:sz w:val="28"/>
          <w:szCs w:val="28"/>
        </w:rPr>
        <w:t xml:space="preserve">                                        </w:t>
      </w:r>
      <w:r w:rsidRPr="00741CBE">
        <w:rPr>
          <w:rFonts w:ascii="仿宋_GB2312" w:eastAsia="仿宋_GB2312" w:hAnsi="宋体" w:hint="eastAsia"/>
          <w:sz w:val="28"/>
          <w:szCs w:val="28"/>
        </w:rPr>
        <w:t>单位：元</w:t>
      </w:r>
    </w:p>
    <w:tbl>
      <w:tblPr>
        <w:tblW w:w="9214" w:type="dxa"/>
        <w:tblInd w:w="-34" w:type="dxa"/>
        <w:tblBorders>
          <w:top w:val="single" w:sz="4" w:space="0" w:color="auto"/>
          <w:left w:val="single" w:sz="4" w:space="0" w:color="auto"/>
          <w:bottom w:val="single" w:sz="4" w:space="0" w:color="auto"/>
          <w:right w:val="single" w:sz="4" w:space="0" w:color="auto"/>
        </w:tblBorders>
        <w:tblLook w:val="04A0"/>
      </w:tblPr>
      <w:tblGrid>
        <w:gridCol w:w="3857"/>
        <w:gridCol w:w="2320"/>
        <w:gridCol w:w="3037"/>
      </w:tblGrid>
      <w:tr w:rsidR="00BA3138" w:rsidRPr="009A303C" w:rsidTr="00025338">
        <w:trPr>
          <w:trHeight w:val="284"/>
        </w:trPr>
        <w:tc>
          <w:tcPr>
            <w:tcW w:w="3857" w:type="dxa"/>
            <w:tcBorders>
              <w:top w:val="single" w:sz="4" w:space="0" w:color="auto"/>
              <w:left w:val="single" w:sz="4" w:space="0" w:color="auto"/>
            </w:tcBorders>
            <w:shd w:val="clear" w:color="auto" w:fill="auto"/>
            <w:vAlign w:val="center"/>
            <w:hideMark/>
          </w:tcPr>
          <w:p w:rsidR="00BA3138" w:rsidRPr="009A303C" w:rsidRDefault="00BA3138" w:rsidP="00025338">
            <w:pPr>
              <w:widowControl/>
              <w:spacing w:line="240" w:lineRule="exact"/>
              <w:jc w:val="left"/>
              <w:rPr>
                <w:rFonts w:ascii="宋体" w:hAnsi="宋体" w:cs="宋体"/>
                <w:kern w:val="0"/>
                <w:sz w:val="20"/>
                <w:szCs w:val="20"/>
              </w:rPr>
            </w:pPr>
            <w:r w:rsidRPr="009A303C">
              <w:rPr>
                <w:rFonts w:ascii="宋体" w:hAnsi="宋体" w:cs="宋体" w:hint="eastAsia"/>
                <w:kern w:val="0"/>
                <w:sz w:val="20"/>
                <w:szCs w:val="20"/>
              </w:rPr>
              <w:t>项 　　目</w:t>
            </w:r>
          </w:p>
        </w:tc>
        <w:tc>
          <w:tcPr>
            <w:tcW w:w="2320" w:type="dxa"/>
            <w:tcBorders>
              <w:top w:val="single" w:sz="4" w:space="0" w:color="auto"/>
            </w:tcBorders>
            <w:shd w:val="clear" w:color="auto" w:fill="auto"/>
            <w:noWrap/>
            <w:vAlign w:val="center"/>
            <w:hideMark/>
          </w:tcPr>
          <w:p w:rsidR="00BA3138" w:rsidRPr="009A303C" w:rsidRDefault="00BA3138" w:rsidP="00025338">
            <w:pPr>
              <w:widowControl/>
              <w:spacing w:line="240" w:lineRule="exact"/>
              <w:jc w:val="left"/>
              <w:rPr>
                <w:rFonts w:ascii="宋体" w:hAnsi="宋体" w:cs="宋体"/>
                <w:kern w:val="0"/>
                <w:sz w:val="20"/>
                <w:szCs w:val="20"/>
              </w:rPr>
            </w:pPr>
            <w:r>
              <w:rPr>
                <w:rFonts w:ascii="宋体" w:hAnsi="宋体" w:cs="宋体" w:hint="eastAsia"/>
                <w:kern w:val="0"/>
                <w:sz w:val="20"/>
                <w:szCs w:val="20"/>
              </w:rPr>
              <w:t>2023年</w:t>
            </w:r>
          </w:p>
        </w:tc>
        <w:tc>
          <w:tcPr>
            <w:tcW w:w="3037" w:type="dxa"/>
            <w:tcBorders>
              <w:top w:val="single" w:sz="4" w:space="0" w:color="auto"/>
              <w:right w:val="single" w:sz="4" w:space="0" w:color="auto"/>
            </w:tcBorders>
            <w:shd w:val="clear" w:color="auto" w:fill="auto"/>
            <w:noWrap/>
            <w:vAlign w:val="center"/>
            <w:hideMark/>
          </w:tcPr>
          <w:p w:rsidR="00BA3138" w:rsidRPr="009A303C" w:rsidRDefault="00BA3138" w:rsidP="00025338">
            <w:pPr>
              <w:widowControl/>
              <w:spacing w:line="240" w:lineRule="exact"/>
              <w:jc w:val="left"/>
              <w:rPr>
                <w:rFonts w:ascii="宋体" w:hAnsi="宋体" w:cs="宋体"/>
                <w:kern w:val="0"/>
                <w:sz w:val="20"/>
                <w:szCs w:val="20"/>
              </w:rPr>
            </w:pPr>
            <w:r>
              <w:rPr>
                <w:rFonts w:ascii="宋体" w:hAnsi="宋体" w:cs="宋体" w:hint="eastAsia"/>
                <w:kern w:val="0"/>
                <w:sz w:val="20"/>
                <w:szCs w:val="20"/>
              </w:rPr>
              <w:t>2022年</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b/>
                <w:kern w:val="0"/>
                <w:sz w:val="18"/>
                <w:szCs w:val="18"/>
              </w:rPr>
            </w:pPr>
            <w:r w:rsidRPr="00913567">
              <w:rPr>
                <w:rFonts w:ascii="宋体" w:hAnsi="宋体" w:cs="宋体" w:hint="eastAsia"/>
                <w:b/>
                <w:kern w:val="0"/>
                <w:sz w:val="18"/>
                <w:szCs w:val="18"/>
              </w:rPr>
              <w:t>一、经营活动产生的现金流量：</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center"/>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客户存款和同业存放款项净增加额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4,309,945,170.86</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3,753,459,182.39</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向中央银行借款净增加额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508,000,000.00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60,254,800.00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向其他金融机构拆入资金净增加额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300,000,000.00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-271,433,600.00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收取利息、手续费及佣金的现金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1,063,621,172.09</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933,518,783.70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回购业务资金净增加额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-95,500,000.00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收到其他与经营活动有关的现金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304,637,302.83</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564,911,681.41</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450" w:firstLine="810"/>
              <w:jc w:val="left"/>
              <w:rPr>
                <w:rFonts w:ascii="宋体" w:hAnsi="宋体" w:cs="宋体"/>
                <w:kern w:val="0"/>
                <w:sz w:val="18"/>
                <w:szCs w:val="18"/>
              </w:rPr>
            </w:pPr>
            <w:r w:rsidRPr="00913567">
              <w:rPr>
                <w:rFonts w:ascii="宋体" w:hAnsi="宋体" w:cs="宋体" w:hint="eastAsia"/>
                <w:kern w:val="0"/>
                <w:sz w:val="18"/>
                <w:szCs w:val="18"/>
              </w:rPr>
              <w:t>经营活动现金流入小计</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6,390,703,645.78</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5,040,710,847.50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客户贷款及垫款净增加额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3,770,227,795.79</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2,669,802,901.40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存放中央银行和同业款项净增加额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481,841,216.44</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-728,356,601.01</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向其他金融机构拆出资金净增加额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39,393,400.00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返售业务资金净增加额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支付利息、手续费及佣金的现金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493,734,928.09</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432,438,267.83</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支付给职工及为职工支付的现金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189,621,849.33</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183,805,885.29</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支付的各项税费</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104,563,738.58</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122,886,921.81</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支付其他与经营活动有关的现金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439,695,504.27</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462,509,090.82</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450" w:firstLine="810"/>
              <w:jc w:val="left"/>
              <w:rPr>
                <w:rFonts w:ascii="宋体" w:hAnsi="宋体" w:cs="宋体"/>
                <w:kern w:val="0"/>
                <w:sz w:val="18"/>
                <w:szCs w:val="18"/>
              </w:rPr>
            </w:pPr>
            <w:r w:rsidRPr="00913567">
              <w:rPr>
                <w:rFonts w:ascii="宋体" w:hAnsi="宋体" w:cs="宋体" w:hint="eastAsia"/>
                <w:kern w:val="0"/>
                <w:sz w:val="18"/>
                <w:szCs w:val="18"/>
              </w:rPr>
              <w:t>经营活动现金流出小计</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5,519,078,432.50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3,143,086,466.14</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300" w:firstLine="540"/>
              <w:jc w:val="left"/>
              <w:rPr>
                <w:rFonts w:ascii="宋体" w:hAnsi="宋体" w:cs="宋体"/>
                <w:kern w:val="0"/>
                <w:sz w:val="18"/>
                <w:szCs w:val="18"/>
              </w:rPr>
            </w:pPr>
            <w:r w:rsidRPr="00913567">
              <w:rPr>
                <w:rFonts w:ascii="宋体" w:hAnsi="宋体" w:cs="宋体" w:hint="eastAsia"/>
                <w:kern w:val="0"/>
                <w:sz w:val="18"/>
                <w:szCs w:val="18"/>
              </w:rPr>
              <w:t>经营活动产生的现金流量净额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871,625,213.28</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1,897,624,381.36</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b/>
                <w:kern w:val="0"/>
                <w:sz w:val="18"/>
                <w:szCs w:val="18"/>
              </w:rPr>
            </w:pPr>
            <w:r w:rsidRPr="00913567">
              <w:rPr>
                <w:rFonts w:ascii="宋体" w:hAnsi="宋体" w:cs="宋体" w:hint="eastAsia"/>
                <w:b/>
                <w:kern w:val="0"/>
                <w:sz w:val="18"/>
                <w:szCs w:val="18"/>
              </w:rPr>
              <w:t>二、投资活动产生的现金流量：</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收回投资收到的现金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17,597,547,160.00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10,623,272,400.00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取得投资收益收到的现金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192,762,331.75</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125,717,434.20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处置固定资产、无形资产和其他长期资产收回的现金净额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1,780,484.25</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6,577,684.47</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收到其他与投资活动有关的现金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450" w:firstLine="810"/>
              <w:jc w:val="left"/>
              <w:rPr>
                <w:rFonts w:ascii="宋体" w:hAnsi="宋体" w:cs="宋体"/>
                <w:kern w:val="0"/>
                <w:sz w:val="18"/>
                <w:szCs w:val="18"/>
              </w:rPr>
            </w:pPr>
            <w:r w:rsidRPr="00913567">
              <w:rPr>
                <w:rFonts w:ascii="宋体" w:hAnsi="宋体" w:cs="宋体" w:hint="eastAsia"/>
                <w:kern w:val="0"/>
                <w:sz w:val="18"/>
                <w:szCs w:val="18"/>
              </w:rPr>
              <w:t>投资活动现金流入小计</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17,792,089,976.00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10,755,567,518.67</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投资支付的现金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18,586,547,160.00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12,411,772,400.00</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购建固定资产、无形资产和其他长期资产支付的现金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22,094,224.13</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20,460,134.74</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支付其他与投资活动有关的现金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450" w:firstLine="810"/>
              <w:jc w:val="left"/>
              <w:rPr>
                <w:rFonts w:ascii="宋体" w:hAnsi="宋体" w:cs="宋体"/>
                <w:kern w:val="0"/>
                <w:sz w:val="18"/>
                <w:szCs w:val="18"/>
              </w:rPr>
            </w:pPr>
            <w:r w:rsidRPr="00913567">
              <w:rPr>
                <w:rFonts w:ascii="宋体" w:hAnsi="宋体" w:cs="宋体" w:hint="eastAsia"/>
                <w:kern w:val="0"/>
                <w:sz w:val="18"/>
                <w:szCs w:val="18"/>
              </w:rPr>
              <w:t>投资活动现金流出小计</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18,608,641,384.13</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12,432,232,534.74</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300" w:firstLine="540"/>
              <w:jc w:val="left"/>
              <w:rPr>
                <w:rFonts w:ascii="宋体" w:hAnsi="宋体" w:cs="宋体"/>
                <w:kern w:val="0"/>
                <w:sz w:val="18"/>
                <w:szCs w:val="18"/>
              </w:rPr>
            </w:pPr>
            <w:r w:rsidRPr="00913567">
              <w:rPr>
                <w:rFonts w:ascii="宋体" w:hAnsi="宋体" w:cs="宋体" w:hint="eastAsia"/>
                <w:kern w:val="0"/>
                <w:sz w:val="18"/>
                <w:szCs w:val="18"/>
              </w:rPr>
              <w:t>投资活动产生的现金流量净额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-816,551,408.13</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-1,676,665,016.07</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b/>
                <w:kern w:val="0"/>
                <w:sz w:val="18"/>
                <w:szCs w:val="18"/>
              </w:rPr>
            </w:pPr>
            <w:r w:rsidRPr="00913567">
              <w:rPr>
                <w:rFonts w:ascii="宋体" w:hAnsi="宋体" w:cs="宋体" w:hint="eastAsia"/>
                <w:b/>
                <w:kern w:val="0"/>
                <w:sz w:val="18"/>
                <w:szCs w:val="18"/>
              </w:rPr>
              <w:t>三、筹资活动产生的现金流量：</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吸收投资收到的现金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70,162,123.30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发行债券收到的现金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200,000,000.00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收到其他与筹资活动有关的现金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450" w:firstLine="810"/>
              <w:jc w:val="left"/>
              <w:rPr>
                <w:rFonts w:ascii="宋体" w:hAnsi="宋体" w:cs="宋体"/>
                <w:kern w:val="0"/>
                <w:sz w:val="18"/>
                <w:szCs w:val="18"/>
              </w:rPr>
            </w:pPr>
            <w:r w:rsidRPr="00913567">
              <w:rPr>
                <w:rFonts w:ascii="宋体" w:hAnsi="宋体" w:cs="宋体" w:hint="eastAsia"/>
                <w:kern w:val="0"/>
                <w:sz w:val="18"/>
                <w:szCs w:val="18"/>
              </w:rPr>
              <w:t>筹资活动现金流入小计</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270,162,123.30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偿还债务支付的现金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200,000,000.00</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分配股利、利润或偿付利息支付的现金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91,795,869.65</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16,075,892.77</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支付其他与筹资活动有关的现金</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450" w:firstLine="810"/>
              <w:jc w:val="left"/>
              <w:rPr>
                <w:rFonts w:ascii="宋体" w:hAnsi="宋体" w:cs="宋体"/>
                <w:kern w:val="0"/>
                <w:sz w:val="18"/>
                <w:szCs w:val="18"/>
              </w:rPr>
            </w:pPr>
            <w:r w:rsidRPr="00913567">
              <w:rPr>
                <w:rFonts w:ascii="宋体" w:hAnsi="宋体" w:cs="宋体" w:hint="eastAsia"/>
                <w:kern w:val="0"/>
                <w:sz w:val="18"/>
                <w:szCs w:val="18"/>
              </w:rPr>
              <w:t>筹资活动现金流出小计</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291,795,869.65</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16,075,892.77</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300" w:firstLine="540"/>
              <w:jc w:val="left"/>
              <w:rPr>
                <w:rFonts w:ascii="宋体" w:hAnsi="宋体" w:cs="宋体"/>
                <w:kern w:val="0"/>
                <w:sz w:val="18"/>
                <w:szCs w:val="18"/>
              </w:rPr>
            </w:pPr>
            <w:r w:rsidRPr="00913567">
              <w:rPr>
                <w:rFonts w:ascii="宋体" w:hAnsi="宋体" w:cs="宋体" w:hint="eastAsia"/>
                <w:kern w:val="0"/>
                <w:sz w:val="18"/>
                <w:szCs w:val="18"/>
              </w:rPr>
              <w:t>筹资活动产生的现金流量净额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-21,633,746.35</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-16,075,892.77</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b/>
                <w:kern w:val="0"/>
                <w:sz w:val="18"/>
                <w:szCs w:val="18"/>
              </w:rPr>
            </w:pPr>
            <w:r w:rsidRPr="00913567">
              <w:rPr>
                <w:rFonts w:ascii="宋体" w:hAnsi="宋体" w:cs="宋体" w:hint="eastAsia"/>
                <w:b/>
                <w:kern w:val="0"/>
                <w:sz w:val="18"/>
                <w:szCs w:val="18"/>
              </w:rPr>
              <w:t>四、汇率变动对现金及现金等价物的影响</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3,431,680.93</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 xml:space="preserve">　</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b/>
                <w:kern w:val="0"/>
                <w:sz w:val="18"/>
                <w:szCs w:val="18"/>
              </w:rPr>
            </w:pPr>
            <w:r w:rsidRPr="00913567">
              <w:rPr>
                <w:rFonts w:ascii="宋体" w:hAnsi="宋体" w:cs="宋体" w:hint="eastAsia"/>
                <w:b/>
                <w:kern w:val="0"/>
                <w:sz w:val="18"/>
                <w:szCs w:val="18"/>
              </w:rPr>
              <w:t>五、现金及现金等价物净增加额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36,871,739.73</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204,883,472.52</w:t>
            </w:r>
          </w:p>
        </w:tc>
      </w:tr>
      <w:tr w:rsidR="00BA3138" w:rsidRPr="009A303C" w:rsidTr="00025338">
        <w:trPr>
          <w:trHeight w:val="284"/>
        </w:trPr>
        <w:tc>
          <w:tcPr>
            <w:tcW w:w="3857" w:type="dxa"/>
            <w:tcBorders>
              <w:left w:val="single" w:sz="4" w:space="0" w:color="auto"/>
            </w:tcBorders>
            <w:shd w:val="clear" w:color="auto" w:fill="auto"/>
            <w:vAlign w:val="center"/>
            <w:hideMark/>
          </w:tcPr>
          <w:p w:rsidR="00BA3138" w:rsidRPr="00913567" w:rsidRDefault="00BA3138" w:rsidP="00025338">
            <w:pPr>
              <w:widowControl/>
              <w:spacing w:line="240" w:lineRule="exact"/>
              <w:ind w:firstLineChars="200" w:firstLine="360"/>
              <w:jc w:val="left"/>
              <w:rPr>
                <w:rFonts w:ascii="宋体" w:hAnsi="宋体" w:cs="宋体"/>
                <w:kern w:val="0"/>
                <w:sz w:val="18"/>
                <w:szCs w:val="18"/>
              </w:rPr>
            </w:pPr>
            <w:r w:rsidRPr="00913567">
              <w:rPr>
                <w:rFonts w:ascii="宋体" w:hAnsi="宋体" w:cs="宋体" w:hint="eastAsia"/>
                <w:kern w:val="0"/>
                <w:sz w:val="18"/>
                <w:szCs w:val="18"/>
              </w:rPr>
              <w:t>加：期初现金及现金等价物余额</w:t>
            </w:r>
          </w:p>
        </w:tc>
        <w:tc>
          <w:tcPr>
            <w:tcW w:w="2320" w:type="dxa"/>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2,127,283,494.87</w:t>
            </w:r>
          </w:p>
        </w:tc>
        <w:tc>
          <w:tcPr>
            <w:tcW w:w="3037" w:type="dxa"/>
            <w:tcBorders>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1,922,400,022.35</w:t>
            </w:r>
          </w:p>
        </w:tc>
      </w:tr>
      <w:tr w:rsidR="00BA3138" w:rsidRPr="009A303C" w:rsidTr="00025338">
        <w:trPr>
          <w:trHeight w:val="284"/>
        </w:trPr>
        <w:tc>
          <w:tcPr>
            <w:tcW w:w="3857" w:type="dxa"/>
            <w:tcBorders>
              <w:left w:val="single" w:sz="4" w:space="0" w:color="auto"/>
              <w:bottom w:val="single" w:sz="4" w:space="0" w:color="auto"/>
            </w:tcBorders>
            <w:shd w:val="clear" w:color="auto" w:fill="auto"/>
            <w:vAlign w:val="center"/>
            <w:hideMark/>
          </w:tcPr>
          <w:p w:rsidR="00BA3138" w:rsidRPr="00913567" w:rsidRDefault="00BA3138" w:rsidP="00025338">
            <w:pPr>
              <w:widowControl/>
              <w:spacing w:line="240" w:lineRule="exact"/>
              <w:jc w:val="left"/>
              <w:rPr>
                <w:rFonts w:ascii="宋体" w:hAnsi="宋体" w:cs="宋体"/>
                <w:b/>
                <w:kern w:val="0"/>
                <w:sz w:val="18"/>
                <w:szCs w:val="18"/>
              </w:rPr>
            </w:pPr>
            <w:r w:rsidRPr="00913567">
              <w:rPr>
                <w:rFonts w:ascii="宋体" w:hAnsi="宋体" w:cs="宋体" w:hint="eastAsia"/>
                <w:b/>
                <w:kern w:val="0"/>
                <w:sz w:val="18"/>
                <w:szCs w:val="18"/>
              </w:rPr>
              <w:t>六、期末现金及现金等价物余额</w:t>
            </w:r>
          </w:p>
        </w:tc>
        <w:tc>
          <w:tcPr>
            <w:tcW w:w="2320" w:type="dxa"/>
            <w:tcBorders>
              <w:bottom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2,164,155,234.60</w:t>
            </w:r>
          </w:p>
        </w:tc>
        <w:tc>
          <w:tcPr>
            <w:tcW w:w="3037" w:type="dxa"/>
            <w:tcBorders>
              <w:bottom w:val="single" w:sz="4" w:space="0" w:color="auto"/>
              <w:right w:val="single" w:sz="4" w:space="0" w:color="auto"/>
            </w:tcBorders>
            <w:shd w:val="clear" w:color="auto" w:fill="auto"/>
            <w:noWrap/>
            <w:vAlign w:val="center"/>
            <w:hideMark/>
          </w:tcPr>
          <w:p w:rsidR="00BA3138" w:rsidRPr="00913567" w:rsidRDefault="00BA3138" w:rsidP="00025338">
            <w:pPr>
              <w:widowControl/>
              <w:spacing w:line="240" w:lineRule="exact"/>
              <w:jc w:val="left"/>
              <w:rPr>
                <w:rFonts w:ascii="宋体" w:hAnsi="宋体" w:cs="宋体"/>
                <w:kern w:val="0"/>
                <w:sz w:val="18"/>
                <w:szCs w:val="18"/>
              </w:rPr>
            </w:pPr>
            <w:r w:rsidRPr="00913567">
              <w:rPr>
                <w:rFonts w:ascii="宋体" w:hAnsi="宋体" w:cs="宋体" w:hint="eastAsia"/>
                <w:kern w:val="0"/>
                <w:sz w:val="18"/>
                <w:szCs w:val="18"/>
              </w:rPr>
              <w:t>2,127,283,494.87</w:t>
            </w:r>
          </w:p>
        </w:tc>
      </w:tr>
    </w:tbl>
    <w:p w:rsidR="00BA3138" w:rsidRPr="000A3E79" w:rsidRDefault="00BA3138" w:rsidP="00BA3138">
      <w:pPr>
        <w:widowControl/>
        <w:spacing w:line="500" w:lineRule="exact"/>
        <w:jc w:val="center"/>
        <w:rPr>
          <w:rFonts w:ascii="黑体" w:eastAsia="黑体" w:hAnsi="黑体"/>
          <w:kern w:val="0"/>
          <w:sz w:val="30"/>
          <w:szCs w:val="30"/>
        </w:rPr>
      </w:pPr>
      <w:r w:rsidRPr="000A3E79">
        <w:rPr>
          <w:rFonts w:ascii="黑体" w:eastAsia="黑体" w:hAnsi="黑体" w:hint="eastAsia"/>
          <w:kern w:val="0"/>
          <w:sz w:val="30"/>
          <w:szCs w:val="30"/>
        </w:rPr>
        <w:lastRenderedPageBreak/>
        <w:t>第五节  风险管理信息</w:t>
      </w:r>
    </w:p>
    <w:p w:rsidR="00BA3138" w:rsidRPr="000A3E79" w:rsidRDefault="00BA3138" w:rsidP="00BA3138">
      <w:pPr>
        <w:spacing w:line="500" w:lineRule="exact"/>
        <w:ind w:firstLineChars="192" w:firstLine="576"/>
        <w:rPr>
          <w:rFonts w:ascii="仿宋" w:eastAsia="仿宋" w:hAnsi="仿宋"/>
          <w:sz w:val="30"/>
          <w:szCs w:val="30"/>
        </w:rPr>
      </w:pPr>
      <w:r w:rsidRPr="000A3E79">
        <w:rPr>
          <w:rFonts w:ascii="仿宋" w:eastAsia="仿宋" w:hAnsi="仿宋" w:hint="eastAsia"/>
          <w:sz w:val="30"/>
          <w:szCs w:val="30"/>
        </w:rPr>
        <w:t>一、总体风险评价。2023年，本行认真贯彻落实省行及监管部门全面风险管理理念和工作部署，加强风险监测和管控，未出现重大经营风险、监管风险和负面事件。总体表现为：各项业务风险管控良好，信用风险、流动性风险、市场风险、操作风险等风险较低；不良贷款率、拨备覆盖率、资本充足率、核心资本充足率、流动性等主要监管指标均已超过法定监管标准；经营理念和风险管理水平稳步提升，业务经营规范有序。</w:t>
      </w:r>
    </w:p>
    <w:p w:rsidR="00BA3138" w:rsidRPr="006C6E50" w:rsidRDefault="00BA3138" w:rsidP="00BA3138">
      <w:pPr>
        <w:spacing w:line="500" w:lineRule="exact"/>
        <w:ind w:firstLineChars="500" w:firstLine="1400"/>
        <w:rPr>
          <w:rFonts w:ascii="宋体" w:hAnsi="宋体"/>
          <w:sz w:val="28"/>
          <w:szCs w:val="28"/>
        </w:rPr>
      </w:pPr>
      <w:r w:rsidRPr="006C6E50">
        <w:rPr>
          <w:rFonts w:ascii="宋体" w:hAnsi="宋体" w:hint="eastAsia"/>
          <w:sz w:val="28"/>
          <w:szCs w:val="28"/>
        </w:rPr>
        <w:t>2023年度主要监管指标执行情况表</w:t>
      </w:r>
    </w:p>
    <w:tbl>
      <w:tblPr>
        <w:tblW w:w="5000" w:type="pct"/>
        <w:tblLook w:val="0000"/>
      </w:tblPr>
      <w:tblGrid>
        <w:gridCol w:w="531"/>
        <w:gridCol w:w="3295"/>
        <w:gridCol w:w="849"/>
        <w:gridCol w:w="1244"/>
        <w:gridCol w:w="1450"/>
        <w:gridCol w:w="1917"/>
      </w:tblGrid>
      <w:tr w:rsidR="00BA3138" w:rsidRPr="006C6E50" w:rsidTr="00025338">
        <w:trPr>
          <w:trHeight w:val="555"/>
        </w:trPr>
        <w:tc>
          <w:tcPr>
            <w:tcW w:w="286" w:type="pct"/>
            <w:vMerge w:val="restar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b/>
                <w:bCs/>
                <w:sz w:val="20"/>
                <w:szCs w:val="20"/>
              </w:rPr>
            </w:pPr>
            <w:r w:rsidRPr="006C6E50">
              <w:rPr>
                <w:rFonts w:ascii="宋体" w:hAnsi="宋体" w:cs="宋体" w:hint="eastAsia"/>
                <w:b/>
                <w:bCs/>
                <w:kern w:val="0"/>
                <w:sz w:val="20"/>
                <w:szCs w:val="20"/>
              </w:rPr>
              <w:t>序号</w:t>
            </w:r>
          </w:p>
        </w:tc>
        <w:tc>
          <w:tcPr>
            <w:tcW w:w="1774" w:type="pct"/>
            <w:vMerge w:val="restar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b/>
                <w:bCs/>
                <w:sz w:val="20"/>
                <w:szCs w:val="20"/>
              </w:rPr>
            </w:pPr>
            <w:r w:rsidRPr="006C6E50">
              <w:rPr>
                <w:rFonts w:ascii="宋体" w:hAnsi="宋体" w:cs="宋体" w:hint="eastAsia"/>
                <w:b/>
                <w:bCs/>
                <w:kern w:val="0"/>
                <w:sz w:val="20"/>
                <w:szCs w:val="20"/>
              </w:rPr>
              <w:t>指标名称</w:t>
            </w:r>
          </w:p>
        </w:tc>
        <w:tc>
          <w:tcPr>
            <w:tcW w:w="457" w:type="pct"/>
            <w:vMerge w:val="restar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b/>
                <w:bCs/>
                <w:sz w:val="20"/>
                <w:szCs w:val="20"/>
              </w:rPr>
            </w:pPr>
            <w:r w:rsidRPr="006C6E50">
              <w:rPr>
                <w:rFonts w:ascii="宋体" w:hAnsi="宋体" w:cs="宋体" w:hint="eastAsia"/>
                <w:b/>
                <w:bCs/>
                <w:kern w:val="0"/>
                <w:sz w:val="20"/>
                <w:szCs w:val="20"/>
              </w:rPr>
              <w:t>监管满分</w:t>
            </w:r>
          </w:p>
        </w:tc>
        <w:tc>
          <w:tcPr>
            <w:tcW w:w="2483" w:type="pct"/>
            <w:gridSpan w:val="3"/>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b/>
                <w:bCs/>
                <w:sz w:val="20"/>
                <w:szCs w:val="20"/>
              </w:rPr>
            </w:pPr>
            <w:r w:rsidRPr="006C6E50">
              <w:rPr>
                <w:rFonts w:ascii="宋体" w:hAnsi="宋体" w:cs="宋体" w:hint="eastAsia"/>
                <w:b/>
                <w:bCs/>
                <w:kern w:val="0"/>
                <w:sz w:val="20"/>
                <w:szCs w:val="20"/>
              </w:rPr>
              <w:t>主要风险监管指标</w:t>
            </w:r>
          </w:p>
        </w:tc>
      </w:tr>
      <w:tr w:rsidR="00BA3138" w:rsidRPr="006C6E50" w:rsidTr="00025338">
        <w:trPr>
          <w:trHeight w:val="495"/>
        </w:trPr>
        <w:tc>
          <w:tcPr>
            <w:tcW w:w="286" w:type="pct"/>
            <w:vMerge/>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spacing w:line="300" w:lineRule="exact"/>
              <w:jc w:val="center"/>
              <w:rPr>
                <w:rFonts w:ascii="宋体" w:hAnsi="宋体" w:cs="宋体"/>
                <w:b/>
                <w:bCs/>
                <w:sz w:val="20"/>
                <w:szCs w:val="20"/>
              </w:rPr>
            </w:pPr>
          </w:p>
        </w:tc>
        <w:tc>
          <w:tcPr>
            <w:tcW w:w="1774" w:type="pct"/>
            <w:vMerge/>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spacing w:line="300" w:lineRule="exact"/>
              <w:jc w:val="center"/>
              <w:rPr>
                <w:rFonts w:ascii="宋体" w:hAnsi="宋体" w:cs="宋体"/>
                <w:b/>
                <w:bCs/>
                <w:sz w:val="20"/>
                <w:szCs w:val="20"/>
              </w:rPr>
            </w:pPr>
          </w:p>
        </w:tc>
        <w:tc>
          <w:tcPr>
            <w:tcW w:w="457" w:type="pct"/>
            <w:vMerge/>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spacing w:line="300" w:lineRule="exact"/>
              <w:jc w:val="center"/>
              <w:rPr>
                <w:rFonts w:ascii="宋体" w:hAnsi="宋体" w:cs="宋体"/>
                <w:b/>
                <w:bCs/>
                <w:sz w:val="20"/>
                <w:szCs w:val="20"/>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b/>
                <w:bCs/>
                <w:sz w:val="20"/>
                <w:szCs w:val="20"/>
              </w:rPr>
            </w:pPr>
            <w:r w:rsidRPr="006C6E50">
              <w:rPr>
                <w:rFonts w:ascii="宋体" w:hAnsi="宋体" w:cs="宋体" w:hint="eastAsia"/>
                <w:b/>
                <w:bCs/>
                <w:kern w:val="0"/>
                <w:sz w:val="20"/>
                <w:szCs w:val="20"/>
              </w:rPr>
              <w:t>2023年末实际值</w:t>
            </w:r>
          </w:p>
        </w:tc>
        <w:tc>
          <w:tcPr>
            <w:tcW w:w="781"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b/>
                <w:bCs/>
                <w:sz w:val="20"/>
                <w:szCs w:val="20"/>
              </w:rPr>
            </w:pPr>
            <w:r w:rsidRPr="006C6E50">
              <w:rPr>
                <w:rFonts w:ascii="宋体" w:hAnsi="宋体" w:cs="宋体" w:hint="eastAsia"/>
                <w:b/>
                <w:bCs/>
                <w:kern w:val="0"/>
                <w:sz w:val="20"/>
                <w:szCs w:val="20"/>
              </w:rPr>
              <w:t>2023年初实际值</w:t>
            </w:r>
          </w:p>
        </w:tc>
        <w:tc>
          <w:tcPr>
            <w:tcW w:w="1033"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b/>
                <w:bCs/>
                <w:sz w:val="20"/>
                <w:szCs w:val="20"/>
              </w:rPr>
            </w:pPr>
            <w:r w:rsidRPr="006C6E50">
              <w:rPr>
                <w:rFonts w:ascii="宋体" w:hAnsi="宋体" w:cs="宋体" w:hint="eastAsia"/>
                <w:b/>
                <w:bCs/>
                <w:kern w:val="0"/>
                <w:sz w:val="20"/>
                <w:szCs w:val="20"/>
              </w:rPr>
              <w:t>较年初</w:t>
            </w:r>
          </w:p>
        </w:tc>
      </w:tr>
      <w:tr w:rsidR="00BA3138" w:rsidRPr="006C6E50" w:rsidTr="00025338">
        <w:trPr>
          <w:trHeight w:val="285"/>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w:t>
            </w:r>
          </w:p>
        </w:tc>
        <w:tc>
          <w:tcPr>
            <w:tcW w:w="1774"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资产利润率</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≥1.2</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0.77</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0.55</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0.22</w:t>
            </w:r>
          </w:p>
        </w:tc>
      </w:tr>
      <w:tr w:rsidR="00BA3138" w:rsidRPr="006C6E50" w:rsidTr="00025338">
        <w:trPr>
          <w:trHeight w:val="27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w:t>
            </w:r>
          </w:p>
        </w:tc>
        <w:tc>
          <w:tcPr>
            <w:tcW w:w="1774"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风险资产利润率</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1.2</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0.84</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0.36</w:t>
            </w:r>
          </w:p>
        </w:tc>
      </w:tr>
      <w:tr w:rsidR="00BA3138" w:rsidRPr="006C6E50" w:rsidTr="00025338">
        <w:trPr>
          <w:trHeight w:val="285"/>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3</w:t>
            </w:r>
          </w:p>
        </w:tc>
        <w:tc>
          <w:tcPr>
            <w:tcW w:w="1774"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资本利润率</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≥20</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10.4</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6.76</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3.64</w:t>
            </w:r>
          </w:p>
        </w:tc>
      </w:tr>
      <w:tr w:rsidR="00BA3138" w:rsidRPr="006C6E50" w:rsidTr="00025338">
        <w:trPr>
          <w:trHeight w:val="285"/>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w:t>
            </w:r>
          </w:p>
        </w:tc>
        <w:tc>
          <w:tcPr>
            <w:tcW w:w="1774"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成本收入比</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≤30</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43.44</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43.69</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-0.25</w:t>
            </w:r>
          </w:p>
        </w:tc>
      </w:tr>
      <w:tr w:rsidR="00BA3138" w:rsidRPr="006C6E50" w:rsidTr="00025338">
        <w:trPr>
          <w:trHeight w:val="27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5</w:t>
            </w:r>
          </w:p>
        </w:tc>
        <w:tc>
          <w:tcPr>
            <w:tcW w:w="1774"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净息差</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≥2.8</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2.27</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2.32</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-0.05</w:t>
            </w:r>
          </w:p>
        </w:tc>
      </w:tr>
      <w:tr w:rsidR="00BA3138" w:rsidRPr="006C6E50" w:rsidTr="00025338">
        <w:trPr>
          <w:trHeight w:val="27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6</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五级不良率</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0.82</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0.83</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-0.01</w:t>
            </w:r>
          </w:p>
        </w:tc>
      </w:tr>
      <w:tr w:rsidR="00BA3138" w:rsidRPr="006C6E50" w:rsidTr="00025338">
        <w:trPr>
          <w:trHeight w:val="27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7</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单一客户贷款集中度</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4.24</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4.17</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0.07</w:t>
            </w:r>
          </w:p>
        </w:tc>
      </w:tr>
      <w:tr w:rsidR="00BA3138" w:rsidRPr="006C6E50" w:rsidTr="00025338">
        <w:trPr>
          <w:trHeight w:val="30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8</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单一集团客户授信集中度</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≤10</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5.78</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4.3</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1.48</w:t>
            </w:r>
          </w:p>
        </w:tc>
      </w:tr>
      <w:tr w:rsidR="00BA3138" w:rsidRPr="006C6E50" w:rsidTr="00025338">
        <w:trPr>
          <w:trHeight w:val="285"/>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9</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全部关联度</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≤10</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11.87</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13.33</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-1.46</w:t>
            </w:r>
          </w:p>
        </w:tc>
      </w:tr>
      <w:tr w:rsidR="00BA3138" w:rsidRPr="006C6E50" w:rsidTr="00025338">
        <w:trPr>
          <w:trHeight w:val="30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10</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贷款拨备覆盖率</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≥300</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354.76</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391</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-36.24</w:t>
            </w:r>
          </w:p>
        </w:tc>
      </w:tr>
      <w:tr w:rsidR="00BA3138" w:rsidRPr="006C6E50" w:rsidTr="00025338">
        <w:trPr>
          <w:trHeight w:val="285"/>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11</w:t>
            </w:r>
          </w:p>
        </w:tc>
        <w:tc>
          <w:tcPr>
            <w:tcW w:w="1774"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流动性比例</w:t>
            </w:r>
          </w:p>
        </w:tc>
        <w:tc>
          <w:tcPr>
            <w:tcW w:w="457"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≥40</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61.1</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40.7</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20.4</w:t>
            </w:r>
          </w:p>
        </w:tc>
      </w:tr>
      <w:tr w:rsidR="00BA3138" w:rsidRPr="006C6E50" w:rsidTr="00025338">
        <w:trPr>
          <w:trHeight w:val="285"/>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12</w:t>
            </w:r>
          </w:p>
        </w:tc>
        <w:tc>
          <w:tcPr>
            <w:tcW w:w="1774"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存贷款比例</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≤60</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72.03</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72.98</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-0.95</w:t>
            </w:r>
          </w:p>
        </w:tc>
      </w:tr>
      <w:tr w:rsidR="00BA3138" w:rsidRPr="006C6E50" w:rsidTr="00025338">
        <w:trPr>
          <w:trHeight w:val="285"/>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13</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核心负债依存度</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≥75</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75.44</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76.36</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-0.92</w:t>
            </w:r>
          </w:p>
        </w:tc>
      </w:tr>
      <w:tr w:rsidR="00BA3138" w:rsidRPr="006C6E50" w:rsidTr="00025338">
        <w:trPr>
          <w:trHeight w:val="48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14</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利率风险敏感度</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≤5（绝对值）</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-1.06</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-6.73</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5.67</w:t>
            </w:r>
          </w:p>
        </w:tc>
      </w:tr>
      <w:tr w:rsidR="00BA3138" w:rsidRPr="006C6E50" w:rsidTr="00025338">
        <w:trPr>
          <w:trHeight w:val="270"/>
        </w:trPr>
        <w:tc>
          <w:tcPr>
            <w:tcW w:w="286"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15</w:t>
            </w:r>
          </w:p>
        </w:tc>
        <w:tc>
          <w:tcPr>
            <w:tcW w:w="1774"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累计外汇敞口头寸比例</w:t>
            </w:r>
          </w:p>
        </w:tc>
        <w:tc>
          <w:tcPr>
            <w:tcW w:w="457" w:type="pct"/>
            <w:tcBorders>
              <w:top w:val="single" w:sz="4" w:space="0" w:color="000000"/>
              <w:left w:val="single" w:sz="4" w:space="0" w:color="000000"/>
              <w:bottom w:val="single" w:sz="4" w:space="0" w:color="000000"/>
              <w:right w:val="single" w:sz="4" w:space="0" w:color="000000"/>
            </w:tcBorders>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≤5</w:t>
            </w:r>
          </w:p>
        </w:tc>
        <w:tc>
          <w:tcPr>
            <w:tcW w:w="670"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0.53</w:t>
            </w:r>
          </w:p>
        </w:tc>
        <w:tc>
          <w:tcPr>
            <w:tcW w:w="781"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w:t>
            </w:r>
          </w:p>
        </w:tc>
        <w:tc>
          <w:tcPr>
            <w:tcW w:w="1033" w:type="pct"/>
            <w:tcBorders>
              <w:top w:val="single" w:sz="4" w:space="0" w:color="000000"/>
              <w:left w:val="single" w:sz="4" w:space="0" w:color="000000"/>
              <w:bottom w:val="single" w:sz="4" w:space="0" w:color="000000"/>
              <w:right w:val="single" w:sz="4" w:space="0" w:color="000000"/>
            </w:tcBorders>
            <w:noWrap/>
            <w:vAlign w:val="center"/>
          </w:tcPr>
          <w:p w:rsidR="00BA3138" w:rsidRPr="006C6E50" w:rsidRDefault="00BA3138" w:rsidP="00025338">
            <w:pPr>
              <w:widowControl/>
              <w:spacing w:line="300" w:lineRule="exact"/>
              <w:jc w:val="center"/>
              <w:textAlignment w:val="center"/>
              <w:rPr>
                <w:rFonts w:ascii="宋体" w:hAnsi="宋体" w:cs="宋体"/>
                <w:sz w:val="20"/>
                <w:szCs w:val="20"/>
              </w:rPr>
            </w:pPr>
            <w:r w:rsidRPr="006C6E50">
              <w:rPr>
                <w:rFonts w:ascii="宋体" w:hAnsi="宋体" w:cs="宋体" w:hint="eastAsia"/>
                <w:kern w:val="0"/>
                <w:sz w:val="20"/>
                <w:szCs w:val="20"/>
              </w:rPr>
              <w:t>0.53</w:t>
            </w:r>
          </w:p>
        </w:tc>
      </w:tr>
    </w:tbl>
    <w:p w:rsidR="00BA3138" w:rsidRPr="000A3E79" w:rsidRDefault="00BA3138" w:rsidP="00BA3138">
      <w:pPr>
        <w:spacing w:line="500" w:lineRule="exact"/>
        <w:ind w:firstLineChars="250" w:firstLine="750"/>
        <w:rPr>
          <w:rFonts w:ascii="仿宋" w:eastAsia="仿宋" w:hAnsi="仿宋"/>
          <w:sz w:val="30"/>
          <w:szCs w:val="30"/>
        </w:rPr>
      </w:pPr>
      <w:r w:rsidRPr="000A3E79">
        <w:rPr>
          <w:rFonts w:ascii="仿宋" w:eastAsia="仿宋" w:hAnsi="仿宋" w:hint="eastAsia"/>
          <w:sz w:val="30"/>
          <w:szCs w:val="30"/>
        </w:rPr>
        <w:t>二、风险状况评价</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一）信用风险。2023年末，本行不良贷款余额17864.34万元，比年初增加2970.39万元，不良率0.82%，比年初下降0.01个百分点。其中，次级类13010.45万元，比年初增加2281.77万元；可疑类2291.46万元，比年初减少1241.31万元；损失类2562.43万元，比年初增加1929.93万元。表外资产情况。担保类业务5785.09万元，银行承兑</w:t>
      </w:r>
      <w:r w:rsidRPr="000A3E79">
        <w:rPr>
          <w:rFonts w:ascii="仿宋" w:eastAsia="仿宋" w:hAnsi="仿宋" w:hint="eastAsia"/>
          <w:sz w:val="30"/>
          <w:szCs w:val="30"/>
        </w:rPr>
        <w:lastRenderedPageBreak/>
        <w:t>汇票2307.54万元，与年初减少2584.89万元；非融资性保函 477.55万元，比年初增加233.61万元。承诺类业务，未使用信用卡额度30878.57万元，比年初增加5589.55万元。</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二）流动性风险。截至年末，本行流动性资产597197.23万元，其中超额准备金存款50812.64万元，一个月内到期同业往来款项轧差后资产方净额为118357.58万元，一个月内到期合格贷款107621.29万元；流动性负债977482.13万元，其中活期存款808478.08万元，一个月内到期的定期存款159363.33万元，流动性比例为61.10%，流动性较为充足。</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（三）市场风险。</w:t>
      </w:r>
      <w:r w:rsidRPr="000A3E79">
        <w:rPr>
          <w:rFonts w:ascii="仿宋" w:eastAsia="仿宋" w:hAnsi="仿宋"/>
          <w:sz w:val="30"/>
          <w:szCs w:val="30"/>
        </w:rPr>
        <w:t>本行</w:t>
      </w:r>
      <w:r w:rsidRPr="000A3E79">
        <w:rPr>
          <w:rFonts w:ascii="仿宋" w:eastAsia="仿宋" w:hAnsi="仿宋" w:hint="eastAsia"/>
          <w:sz w:val="30"/>
          <w:szCs w:val="30"/>
        </w:rPr>
        <w:t>组成了金融市场部、国际业务部、风险合规部、计划财务部的前、中、后台管理构架，履行市场风险管理职责。2023年末，本行债券、同业存单投资规模78.75亿元，其中以摊余成本计量73.71亿元，以公允价值计量计入其它综合收益5.04亿元，没有以公允价值计量计入当期损益的金融资产。整体看本行投资资产受利率波动的影响相对较小，市场风险基本可控。</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四）国别风险。本行外汇业务（包括跨境人民币业务）涉及国别授信风险的业务目前仅有同业拆借给中国银行澳门分行。本行将G20国家、香港及澳门归为低风险国家类别。截止2023年末，涉及中国银行澳门分行的同业拆借业务共4笔，累计发生金额为800万美元，均为本行向该行拆出美元资金，现余额为200万美元，目前风险均可控。</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（五）银行账簿利率风险。</w:t>
      </w:r>
      <w:r w:rsidRPr="000A3E79">
        <w:rPr>
          <w:rFonts w:ascii="仿宋" w:eastAsia="仿宋" w:hAnsi="仿宋"/>
          <w:sz w:val="30"/>
          <w:szCs w:val="30"/>
        </w:rPr>
        <w:t>本行坚持稳健审慎的账簿利率风险偏好，持续关注外部经济环境及利率市场变化，定期计算银行账户项下全部生息资产、生息负债在重定价日的利率敏感性缺口，测试利率平行上移</w:t>
      </w:r>
      <w:r w:rsidRPr="000A3E79">
        <w:rPr>
          <w:rFonts w:ascii="仿宋" w:eastAsia="仿宋" w:hAnsi="仿宋" w:hint="eastAsia"/>
          <w:sz w:val="30"/>
          <w:szCs w:val="30"/>
        </w:rPr>
        <w:t>250个基点对净利息收入的影响、存款不变其他科目利率平行下移250个基点对净利息收入的影响以及六</w:t>
      </w:r>
      <w:r w:rsidRPr="000A3E79">
        <w:rPr>
          <w:rFonts w:ascii="仿宋" w:eastAsia="仿宋" w:hAnsi="仿宋"/>
          <w:sz w:val="30"/>
          <w:szCs w:val="30"/>
        </w:rPr>
        <w:t>种不同</w:t>
      </w:r>
      <w:r w:rsidRPr="000A3E79">
        <w:rPr>
          <w:rFonts w:ascii="仿宋" w:eastAsia="仿宋" w:hAnsi="仿宋" w:hint="eastAsia"/>
          <w:sz w:val="30"/>
          <w:szCs w:val="30"/>
        </w:rPr>
        <w:t>利率冲击情景下对经济价值的影响，经测算,四个季度最大经济价值变动比例分别为12.24%、22.89%、25.01%、31.73%，四个季度利率风险敏感度分别为-6.26%、-0.20%、0.28%、-1.06%，均满足监管要求。</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六）操作风险。本行持续加强业务条线操作风险管理，做好员工行为排查，落实员工行为管理系统预警处置，全年共处置风险预警192起。开展常规化可疑数据风险排查和公司信贷政策执行、零售业务重点风险、资金与票据业务、支付清算业务、财富业务、科技信息安全、财务风险、运营风险、疫情期间新增大额贷款、不法贷款中介等排查工作。严肃内部问责，增强惩戒震慑。今年处罚548人次，积分1250.2分，其中经济处罚548人次金额21.58万元，诫勉谈话1人、警告7人、留用查看1人和开除1人。</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（七）声誉风险。</w:t>
      </w:r>
      <w:r w:rsidRPr="000A3E79">
        <w:rPr>
          <w:rFonts w:ascii="仿宋" w:eastAsia="仿宋" w:hAnsi="仿宋"/>
          <w:sz w:val="30"/>
          <w:szCs w:val="30"/>
        </w:rPr>
        <w:t>本行声誉风险管理是公司治理及全面风险管理体系的重要组成部分，覆盖本行的经营管理、业务活动及员工行为等所有领域。</w:t>
      </w:r>
      <w:r w:rsidRPr="000A3E79">
        <w:rPr>
          <w:rFonts w:ascii="仿宋" w:eastAsia="仿宋" w:hAnsi="仿宋" w:hint="eastAsia"/>
          <w:sz w:val="30"/>
          <w:szCs w:val="30"/>
        </w:rPr>
        <w:t>本行持续完善声誉风险管理制度，通过开展事前排查监测，加强声誉风险管理，提升声誉风险管理的主动性；将声誉风险纳入全行风险考评，加强舆论监督，对投诉事件进行及时正面处理，夯实了声誉风险管理基础。</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八)集中度风险。年末，本行资产总额3303070.23万元，资本净额259166.84万元，最大单户贷款余额11000万元，占资本净额的4.24%，最大十户贷款余额为75945万元，占资本净额的29.30%，最大单户和最大十户贷款指标均符合监管要求，贷款集中度风险较小。从行业集中度看，2023年末本行贷款投向总额排名前五的行业分别为：制造业、批发和零售业、交通运输业、农林牧渔业、建筑业，在贷款总额中合计占比67.45%。</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九)战略风险。本行战略发展架构以风险管理及合规为基础，发展规划是基于区域经济环境和自身特点而确立，拥有符合实际的市场定位，具备明确的发展目标和实施路径，整体风险较低。长期坚持服务“三农”、小微企业和地方经济的市场定位和理念，围绕“小而精”发展主基调，深化普惠金融，在当地市场具有较强竞争优势。</w:t>
      </w:r>
      <w:r w:rsidRPr="000A3E79">
        <w:rPr>
          <w:rFonts w:ascii="仿宋" w:eastAsia="仿宋" w:hAnsi="仿宋"/>
          <w:sz w:val="30"/>
          <w:szCs w:val="30"/>
        </w:rPr>
        <w:t>除了风险管理、合规经营及业务开展外，注重人才培训，举办菁英班等培训，</w:t>
      </w:r>
      <w:r w:rsidRPr="000A3E79">
        <w:rPr>
          <w:rFonts w:ascii="仿宋" w:eastAsia="仿宋" w:hAnsi="仿宋" w:hint="eastAsia"/>
          <w:sz w:val="30"/>
          <w:szCs w:val="30"/>
        </w:rPr>
        <w:t>建立三个人才专业队伍</w:t>
      </w:r>
      <w:r w:rsidRPr="000A3E79">
        <w:rPr>
          <w:rFonts w:ascii="仿宋" w:eastAsia="仿宋" w:hAnsi="仿宋"/>
          <w:sz w:val="30"/>
          <w:szCs w:val="30"/>
        </w:rPr>
        <w:t>，奠定本行长期发展的基石。</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（十）科技信息风险。</w:t>
      </w:r>
      <w:r w:rsidRPr="000A3E79">
        <w:rPr>
          <w:rFonts w:ascii="仿宋" w:eastAsia="仿宋" w:hAnsi="仿宋"/>
          <w:sz w:val="30"/>
          <w:szCs w:val="30"/>
        </w:rPr>
        <w:t>2023年，本行实施了信息科技风险专项风险评估，有效识别本行存在的信息安全风险点并制定了切实有效的改善措施和计划。在信息科技外包管理方面，</w:t>
      </w:r>
      <w:r w:rsidRPr="000A3E79">
        <w:rPr>
          <w:rFonts w:ascii="仿宋" w:eastAsia="仿宋" w:hAnsi="仿宋" w:hint="eastAsia"/>
          <w:sz w:val="30"/>
          <w:szCs w:val="30"/>
        </w:rPr>
        <w:t>每年开展一次外包服务评价，定期做好外包服务商的尽调。</w:t>
      </w:r>
      <w:r w:rsidRPr="000A3E79">
        <w:rPr>
          <w:rFonts w:ascii="仿宋" w:eastAsia="仿宋" w:hAnsi="仿宋"/>
          <w:sz w:val="30"/>
          <w:szCs w:val="30"/>
        </w:rPr>
        <w:t>在业务连续性管理方面，本行制定各项重要业务的应急和恢复计划，并定期进行业务连续性演练，演练结果验证应急预案有效可行。本行制定了主要业务系统备份和灾难恢复的措施与管理流程，并定期进行开展演练，各项应用系统功能及数据完整性验证皆正常，且系统恢复时间与数据落差皆符合规范。</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（十一）洗钱风险。本行成立由董事长为组长的反洗钱工作领导小组，通过内控制度</w:t>
      </w:r>
      <w:r w:rsidRPr="000A3E79">
        <w:rPr>
          <w:rFonts w:ascii="仿宋" w:eastAsia="仿宋" w:hAnsi="仿宋"/>
          <w:sz w:val="30"/>
          <w:szCs w:val="30"/>
        </w:rPr>
        <w:t>建立客户、产品、机构一体化的洗钱风险评估体系，依托浙江农商联</w:t>
      </w:r>
      <w:r w:rsidRPr="000A3E79">
        <w:rPr>
          <w:rFonts w:ascii="仿宋" w:eastAsia="仿宋" w:hAnsi="仿宋" w:hint="eastAsia"/>
          <w:sz w:val="30"/>
          <w:szCs w:val="30"/>
        </w:rPr>
        <w:t>合</w:t>
      </w:r>
      <w:r w:rsidRPr="000A3E79">
        <w:rPr>
          <w:rFonts w:ascii="仿宋" w:eastAsia="仿宋" w:hAnsi="仿宋"/>
          <w:sz w:val="30"/>
          <w:szCs w:val="30"/>
        </w:rPr>
        <w:t>银行开发的各类系统</w:t>
      </w:r>
      <w:r w:rsidRPr="000A3E79">
        <w:rPr>
          <w:rFonts w:ascii="仿宋" w:eastAsia="仿宋" w:hAnsi="仿宋" w:hint="eastAsia"/>
          <w:sz w:val="30"/>
          <w:szCs w:val="30"/>
        </w:rPr>
        <w:t>强</w:t>
      </w:r>
      <w:r w:rsidRPr="000A3E79">
        <w:rPr>
          <w:rFonts w:ascii="仿宋" w:eastAsia="仿宋" w:hAnsi="仿宋"/>
          <w:sz w:val="30"/>
          <w:szCs w:val="30"/>
        </w:rPr>
        <w:t>化管理</w:t>
      </w:r>
      <w:r w:rsidRPr="000A3E79">
        <w:rPr>
          <w:rFonts w:ascii="仿宋" w:eastAsia="仿宋" w:hAnsi="仿宋" w:hint="eastAsia"/>
          <w:sz w:val="30"/>
          <w:szCs w:val="30"/>
        </w:rPr>
        <w:t>。2023年共上报可疑交易报告133份，排除可疑交易3507份，上报人行重点可疑交易报告4份；加强客户识别，包括实名制管理、基本信息维护、客户尽职调查等。积极开展各类风险排查，做好高风险客户管控工作。本行多渠道开展反洗钱培训，2023年本行共开展反洗钱集中培训13次，内容涉及反洗钱新政及监管重点、反诈法解读与电诈形势分析、强监管下金融机构反洗钱履职、反洗钱实务操作学习、国际反洗钱培训等。</w:t>
      </w:r>
    </w:p>
    <w:p w:rsidR="00BA3138" w:rsidRPr="000A3E79" w:rsidRDefault="00BA3138" w:rsidP="00BA3138">
      <w:pPr>
        <w:spacing w:line="500" w:lineRule="exact"/>
        <w:jc w:val="center"/>
        <w:rPr>
          <w:rFonts w:ascii="黑体" w:eastAsia="黑体" w:hAnsi="黑体"/>
          <w:sz w:val="30"/>
          <w:szCs w:val="30"/>
        </w:rPr>
      </w:pPr>
      <w:r w:rsidRPr="000A3E79">
        <w:rPr>
          <w:rFonts w:ascii="黑体" w:eastAsia="黑体" w:hAnsi="黑体" w:hint="eastAsia"/>
          <w:kern w:val="0"/>
          <w:sz w:val="30"/>
          <w:szCs w:val="30"/>
        </w:rPr>
        <w:t>第六节  公司治理信息</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sz w:val="30"/>
          <w:szCs w:val="30"/>
        </w:rPr>
        <w:t>20</w:t>
      </w:r>
      <w:r w:rsidRPr="000A3E79">
        <w:rPr>
          <w:rFonts w:ascii="仿宋" w:eastAsia="仿宋" w:hAnsi="仿宋" w:hint="eastAsia"/>
          <w:sz w:val="30"/>
          <w:szCs w:val="30"/>
        </w:rPr>
        <w:t>23年，本行按照农村商业银行法人治理要求和章程规定，进一步加强股东股权管理，健全完善以股东大会、董事会、监事会和高级管理层为主体的公司治理结构、管理体制和运行机制，“三会一层”各司其职，相互制衡，有效形成了决策、执行、监督、激励和约束相结合的经营机制。设有股东大会、董事会、监事会、经营层“三会一层”，董事会下设战略发展委员会（“三农”服务委员会）、审计委员会、风险管理委员会、提名与薪酬管理委员会、关联交易委员会、消费者权益保护委员会六个专业委员会，工作职责和议事规则制度齐全，运行规范，独立董事和外部董监事尽责履职，监督有力，股权结构稳定，信息披露充分，公司治理文化逐步形成。</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（一）股东股权情况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1.股份结构。</w:t>
      </w:r>
      <w:r w:rsidRPr="000A3E79">
        <w:rPr>
          <w:rFonts w:ascii="仿宋" w:eastAsia="仿宋" w:hAnsi="仿宋"/>
          <w:sz w:val="30"/>
          <w:szCs w:val="30"/>
        </w:rPr>
        <w:t>截至202</w:t>
      </w:r>
      <w:r w:rsidRPr="000A3E79">
        <w:rPr>
          <w:rFonts w:ascii="仿宋" w:eastAsia="仿宋" w:hAnsi="仿宋" w:hint="eastAsia"/>
          <w:sz w:val="30"/>
          <w:szCs w:val="30"/>
        </w:rPr>
        <w:t>3</w:t>
      </w:r>
      <w:r w:rsidRPr="000A3E79">
        <w:rPr>
          <w:rFonts w:ascii="仿宋" w:eastAsia="仿宋" w:hAnsi="仿宋"/>
          <w:sz w:val="30"/>
          <w:szCs w:val="30"/>
        </w:rPr>
        <w:t>年12月31日，</w:t>
      </w:r>
      <w:r w:rsidRPr="000A3E79">
        <w:rPr>
          <w:rFonts w:ascii="仿宋" w:eastAsia="仿宋" w:hAnsi="仿宋" w:hint="eastAsia"/>
          <w:sz w:val="30"/>
          <w:szCs w:val="30"/>
        </w:rPr>
        <w:t>本</w:t>
      </w:r>
      <w:r w:rsidRPr="000A3E79">
        <w:rPr>
          <w:rFonts w:ascii="仿宋" w:eastAsia="仿宋" w:hAnsi="仿宋"/>
          <w:sz w:val="30"/>
          <w:szCs w:val="30"/>
        </w:rPr>
        <w:t>行</w:t>
      </w:r>
      <w:r w:rsidRPr="000A3E79">
        <w:rPr>
          <w:rFonts w:ascii="仿宋" w:eastAsia="仿宋" w:hAnsi="仿宋" w:hint="eastAsia"/>
          <w:sz w:val="30"/>
          <w:szCs w:val="30"/>
        </w:rPr>
        <w:t>股东总数1642户，总股本为515507013股，其中法人股东109户，股本258985059股，占比50.24%，非职工自然人股东1012户，股本165053009股，占比32.02%，职工自然人股东521户，股本91468945股，占比17.73%。占比</w:t>
      </w:r>
      <w:r w:rsidRPr="000A3E79">
        <w:rPr>
          <w:rFonts w:ascii="仿宋" w:eastAsia="仿宋" w:hAnsi="仿宋"/>
          <w:sz w:val="30"/>
          <w:szCs w:val="30"/>
        </w:rPr>
        <w:t>股</w:t>
      </w:r>
      <w:r w:rsidRPr="000A3E79">
        <w:rPr>
          <w:rFonts w:ascii="仿宋" w:eastAsia="仿宋" w:hAnsi="仿宋" w:hint="eastAsia"/>
          <w:sz w:val="30"/>
          <w:szCs w:val="30"/>
        </w:rPr>
        <w:t>份</w:t>
      </w:r>
      <w:r w:rsidRPr="000A3E79">
        <w:rPr>
          <w:rFonts w:ascii="仿宋" w:eastAsia="仿宋" w:hAnsi="仿宋"/>
          <w:sz w:val="30"/>
          <w:szCs w:val="30"/>
        </w:rPr>
        <w:t>结构如下：</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1908"/>
        <w:gridCol w:w="1657"/>
        <w:gridCol w:w="1907"/>
        <w:gridCol w:w="1907"/>
        <w:gridCol w:w="1907"/>
      </w:tblGrid>
      <w:tr w:rsidR="00BA3138" w:rsidRPr="006C6E50" w:rsidTr="00025338">
        <w:trPr>
          <w:trHeight w:val="397"/>
        </w:trPr>
        <w:tc>
          <w:tcPr>
            <w:tcW w:w="1027" w:type="pct"/>
            <w:vMerge w:val="restar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股东类别</w:t>
            </w:r>
          </w:p>
        </w:tc>
        <w:tc>
          <w:tcPr>
            <w:tcW w:w="1919" w:type="pct"/>
            <w:gridSpan w:val="2"/>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期末余额</w:t>
            </w:r>
          </w:p>
        </w:tc>
        <w:tc>
          <w:tcPr>
            <w:tcW w:w="2054" w:type="pct"/>
            <w:gridSpan w:val="2"/>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年初余额</w:t>
            </w:r>
          </w:p>
        </w:tc>
      </w:tr>
      <w:tr w:rsidR="00BA3138" w:rsidRPr="006C6E50" w:rsidTr="00025338">
        <w:trPr>
          <w:trHeight w:val="397"/>
        </w:trPr>
        <w:tc>
          <w:tcPr>
            <w:tcW w:w="1027" w:type="pct"/>
            <w:vMerge/>
            <w:vAlign w:val="center"/>
            <w:hideMark/>
          </w:tcPr>
          <w:p w:rsidR="00BA3138" w:rsidRPr="006C6E50" w:rsidRDefault="00BA3138" w:rsidP="00025338">
            <w:pPr>
              <w:widowControl/>
              <w:jc w:val="center"/>
              <w:rPr>
                <w:rFonts w:ascii="宋体" w:hAnsi="宋体" w:cs="宋体"/>
                <w:sz w:val="18"/>
                <w:szCs w:val="18"/>
              </w:rPr>
            </w:pPr>
          </w:p>
        </w:tc>
        <w:tc>
          <w:tcPr>
            <w:tcW w:w="892" w:type="pc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投资金额</w:t>
            </w:r>
          </w:p>
        </w:tc>
        <w:tc>
          <w:tcPr>
            <w:tcW w:w="1027" w:type="pc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比例</w:t>
            </w:r>
            <w:r w:rsidRPr="006C6E50">
              <w:rPr>
                <w:sz w:val="18"/>
                <w:szCs w:val="18"/>
              </w:rPr>
              <w:t>(%)</w:t>
            </w:r>
          </w:p>
        </w:tc>
        <w:tc>
          <w:tcPr>
            <w:tcW w:w="1027" w:type="pc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投资金额</w:t>
            </w:r>
          </w:p>
        </w:tc>
        <w:tc>
          <w:tcPr>
            <w:tcW w:w="1027" w:type="pc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比例</w:t>
            </w:r>
            <w:r w:rsidRPr="006C6E50">
              <w:rPr>
                <w:sz w:val="18"/>
                <w:szCs w:val="18"/>
              </w:rPr>
              <w:t>(%)</w:t>
            </w:r>
          </w:p>
        </w:tc>
      </w:tr>
      <w:tr w:rsidR="00BA3138" w:rsidRPr="006C6E50" w:rsidTr="00025338">
        <w:trPr>
          <w:trHeight w:val="397"/>
        </w:trPr>
        <w:tc>
          <w:tcPr>
            <w:tcW w:w="1027" w:type="pc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其中：法人</w:t>
            </w:r>
          </w:p>
        </w:tc>
        <w:tc>
          <w:tcPr>
            <w:tcW w:w="892" w:type="pct"/>
            <w:shd w:val="clear" w:color="auto" w:fill="auto"/>
            <w:vAlign w:val="center"/>
            <w:hideMark/>
          </w:tcPr>
          <w:p w:rsidR="00BA3138" w:rsidRPr="006C6E50" w:rsidRDefault="00BA3138" w:rsidP="00025338">
            <w:pPr>
              <w:widowControl/>
              <w:jc w:val="center"/>
              <w:rPr>
                <w:sz w:val="18"/>
                <w:szCs w:val="18"/>
              </w:rPr>
            </w:pPr>
            <w:r w:rsidRPr="006C6E50">
              <w:rPr>
                <w:sz w:val="18"/>
                <w:szCs w:val="18"/>
              </w:rPr>
              <w:t>25</w:t>
            </w:r>
            <w:r w:rsidRPr="006C6E50">
              <w:rPr>
                <w:rFonts w:hint="eastAsia"/>
                <w:sz w:val="18"/>
                <w:szCs w:val="18"/>
              </w:rPr>
              <w:t>8</w:t>
            </w:r>
            <w:r w:rsidRPr="006C6E50">
              <w:rPr>
                <w:sz w:val="18"/>
                <w:szCs w:val="18"/>
              </w:rPr>
              <w:t>,</w:t>
            </w:r>
            <w:r w:rsidRPr="006C6E50">
              <w:rPr>
                <w:rFonts w:hint="eastAsia"/>
                <w:sz w:val="18"/>
                <w:szCs w:val="18"/>
              </w:rPr>
              <w:t>985</w:t>
            </w:r>
            <w:r w:rsidRPr="006C6E50">
              <w:rPr>
                <w:sz w:val="18"/>
                <w:szCs w:val="18"/>
              </w:rPr>
              <w:t>,</w:t>
            </w:r>
            <w:r w:rsidRPr="006C6E50">
              <w:rPr>
                <w:rFonts w:hint="eastAsia"/>
                <w:sz w:val="18"/>
                <w:szCs w:val="18"/>
              </w:rPr>
              <w:t>059</w:t>
            </w:r>
            <w:r w:rsidRPr="006C6E50">
              <w:rPr>
                <w:sz w:val="18"/>
                <w:szCs w:val="18"/>
              </w:rPr>
              <w:t>.00</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sz w:val="18"/>
                <w:szCs w:val="18"/>
              </w:rPr>
              <w:t>50.</w:t>
            </w:r>
            <w:r w:rsidRPr="006C6E50">
              <w:rPr>
                <w:rFonts w:hint="eastAsia"/>
                <w:sz w:val="18"/>
                <w:szCs w:val="18"/>
              </w:rPr>
              <w:t>24</w:t>
            </w:r>
            <w:r w:rsidRPr="006C6E50">
              <w:rPr>
                <w:sz w:val="18"/>
                <w:szCs w:val="18"/>
              </w:rPr>
              <w:t>%</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sz w:val="18"/>
                <w:szCs w:val="18"/>
              </w:rPr>
              <w:t>251,741,826.00</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sz w:val="18"/>
                <w:szCs w:val="18"/>
              </w:rPr>
              <w:t>50.30%</w:t>
            </w:r>
          </w:p>
        </w:tc>
      </w:tr>
      <w:tr w:rsidR="00BA3138" w:rsidRPr="006C6E50" w:rsidTr="00025338">
        <w:trPr>
          <w:trHeight w:val="397"/>
        </w:trPr>
        <w:tc>
          <w:tcPr>
            <w:tcW w:w="1027" w:type="pc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自然人</w:t>
            </w:r>
            <w:r w:rsidRPr="006C6E50">
              <w:rPr>
                <w:sz w:val="18"/>
                <w:szCs w:val="18"/>
              </w:rPr>
              <w:t>(</w:t>
            </w:r>
            <w:r w:rsidRPr="006C6E50">
              <w:rPr>
                <w:rFonts w:ascii="宋体" w:hAnsi="宋体" w:cs="宋体" w:hint="eastAsia"/>
                <w:sz w:val="18"/>
                <w:szCs w:val="18"/>
              </w:rPr>
              <w:t>不含员工</w:t>
            </w:r>
            <w:r w:rsidRPr="006C6E50">
              <w:rPr>
                <w:sz w:val="18"/>
                <w:szCs w:val="18"/>
              </w:rPr>
              <w:t>)</w:t>
            </w:r>
          </w:p>
        </w:tc>
        <w:tc>
          <w:tcPr>
            <w:tcW w:w="892" w:type="pct"/>
            <w:shd w:val="clear" w:color="auto" w:fill="auto"/>
            <w:vAlign w:val="center"/>
            <w:hideMark/>
          </w:tcPr>
          <w:p w:rsidR="00BA3138" w:rsidRPr="006C6E50" w:rsidRDefault="00BA3138" w:rsidP="00025338">
            <w:pPr>
              <w:widowControl/>
              <w:jc w:val="center"/>
              <w:rPr>
                <w:sz w:val="18"/>
                <w:szCs w:val="18"/>
              </w:rPr>
            </w:pPr>
            <w:r w:rsidRPr="006C6E50">
              <w:rPr>
                <w:sz w:val="18"/>
                <w:szCs w:val="18"/>
              </w:rPr>
              <w:t>16</w:t>
            </w:r>
            <w:r w:rsidRPr="006C6E50">
              <w:rPr>
                <w:rFonts w:hint="eastAsia"/>
                <w:sz w:val="18"/>
                <w:szCs w:val="18"/>
              </w:rPr>
              <w:t>5</w:t>
            </w:r>
            <w:r w:rsidRPr="006C6E50">
              <w:rPr>
                <w:sz w:val="18"/>
                <w:szCs w:val="18"/>
              </w:rPr>
              <w:t>,</w:t>
            </w:r>
            <w:r w:rsidRPr="006C6E50">
              <w:rPr>
                <w:rFonts w:hint="eastAsia"/>
                <w:sz w:val="18"/>
                <w:szCs w:val="18"/>
              </w:rPr>
              <w:t>053</w:t>
            </w:r>
            <w:r w:rsidRPr="006C6E50">
              <w:rPr>
                <w:sz w:val="18"/>
                <w:szCs w:val="18"/>
              </w:rPr>
              <w:t>,</w:t>
            </w:r>
            <w:r w:rsidRPr="006C6E50">
              <w:rPr>
                <w:rFonts w:hint="eastAsia"/>
                <w:sz w:val="18"/>
                <w:szCs w:val="18"/>
              </w:rPr>
              <w:t>009</w:t>
            </w:r>
            <w:r w:rsidRPr="006C6E50">
              <w:rPr>
                <w:sz w:val="18"/>
                <w:szCs w:val="18"/>
              </w:rPr>
              <w:t>.00</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rFonts w:hint="eastAsia"/>
                <w:sz w:val="18"/>
                <w:szCs w:val="18"/>
              </w:rPr>
              <w:t>32.02%</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sz w:val="18"/>
                <w:szCs w:val="18"/>
              </w:rPr>
              <w:t>16</w:t>
            </w:r>
            <w:r w:rsidRPr="006C6E50">
              <w:rPr>
                <w:rFonts w:hint="eastAsia"/>
                <w:sz w:val="18"/>
                <w:szCs w:val="18"/>
              </w:rPr>
              <w:t>0</w:t>
            </w:r>
            <w:r w:rsidRPr="006C6E50">
              <w:rPr>
                <w:sz w:val="18"/>
                <w:szCs w:val="18"/>
              </w:rPr>
              <w:t>,</w:t>
            </w:r>
            <w:r w:rsidRPr="006C6E50">
              <w:rPr>
                <w:rFonts w:hint="eastAsia"/>
                <w:sz w:val="18"/>
                <w:szCs w:val="18"/>
              </w:rPr>
              <w:t>453</w:t>
            </w:r>
            <w:r w:rsidRPr="006C6E50">
              <w:rPr>
                <w:sz w:val="18"/>
                <w:szCs w:val="18"/>
              </w:rPr>
              <w:t>,</w:t>
            </w:r>
            <w:r w:rsidRPr="006C6E50">
              <w:rPr>
                <w:rFonts w:hint="eastAsia"/>
                <w:sz w:val="18"/>
                <w:szCs w:val="18"/>
              </w:rPr>
              <w:t>814</w:t>
            </w:r>
            <w:r w:rsidRPr="006C6E50">
              <w:rPr>
                <w:sz w:val="18"/>
                <w:szCs w:val="18"/>
              </w:rPr>
              <w:t>.00</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rFonts w:hint="eastAsia"/>
                <w:sz w:val="18"/>
                <w:szCs w:val="18"/>
              </w:rPr>
              <w:t>32.06%</w:t>
            </w:r>
          </w:p>
        </w:tc>
      </w:tr>
      <w:tr w:rsidR="00BA3138" w:rsidRPr="006C6E50" w:rsidTr="00025338">
        <w:trPr>
          <w:trHeight w:val="397"/>
        </w:trPr>
        <w:tc>
          <w:tcPr>
            <w:tcW w:w="1027" w:type="pct"/>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员工</w:t>
            </w:r>
          </w:p>
        </w:tc>
        <w:tc>
          <w:tcPr>
            <w:tcW w:w="892" w:type="pct"/>
            <w:shd w:val="clear" w:color="auto" w:fill="auto"/>
            <w:vAlign w:val="center"/>
            <w:hideMark/>
          </w:tcPr>
          <w:p w:rsidR="00BA3138" w:rsidRPr="006C6E50" w:rsidRDefault="00BA3138" w:rsidP="00025338">
            <w:pPr>
              <w:widowControl/>
              <w:jc w:val="center"/>
              <w:rPr>
                <w:sz w:val="18"/>
                <w:szCs w:val="18"/>
              </w:rPr>
            </w:pPr>
            <w:r w:rsidRPr="006C6E50">
              <w:rPr>
                <w:rFonts w:hint="eastAsia"/>
                <w:sz w:val="18"/>
                <w:szCs w:val="18"/>
              </w:rPr>
              <w:t>91</w:t>
            </w:r>
            <w:r w:rsidRPr="006C6E50">
              <w:rPr>
                <w:sz w:val="18"/>
                <w:szCs w:val="18"/>
              </w:rPr>
              <w:t>,</w:t>
            </w:r>
            <w:r w:rsidRPr="006C6E50">
              <w:rPr>
                <w:rFonts w:hint="eastAsia"/>
                <w:sz w:val="18"/>
                <w:szCs w:val="18"/>
              </w:rPr>
              <w:t>468</w:t>
            </w:r>
            <w:r w:rsidRPr="006C6E50">
              <w:rPr>
                <w:sz w:val="18"/>
                <w:szCs w:val="18"/>
              </w:rPr>
              <w:t>,</w:t>
            </w:r>
            <w:r w:rsidRPr="006C6E50">
              <w:rPr>
                <w:rFonts w:hint="eastAsia"/>
                <w:sz w:val="18"/>
                <w:szCs w:val="18"/>
              </w:rPr>
              <w:t>945</w:t>
            </w:r>
            <w:r w:rsidRPr="006C6E50">
              <w:rPr>
                <w:sz w:val="18"/>
                <w:szCs w:val="18"/>
              </w:rPr>
              <w:t>.00</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rFonts w:hint="eastAsia"/>
                <w:sz w:val="18"/>
                <w:szCs w:val="18"/>
              </w:rPr>
              <w:t>17.73%</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sz w:val="18"/>
                <w:szCs w:val="18"/>
              </w:rPr>
              <w:t>8</w:t>
            </w:r>
            <w:r w:rsidRPr="006C6E50">
              <w:rPr>
                <w:rFonts w:hint="eastAsia"/>
                <w:sz w:val="18"/>
                <w:szCs w:val="18"/>
              </w:rPr>
              <w:t>8</w:t>
            </w:r>
            <w:r w:rsidRPr="006C6E50">
              <w:rPr>
                <w:sz w:val="18"/>
                <w:szCs w:val="18"/>
              </w:rPr>
              <w:t>,2</w:t>
            </w:r>
            <w:r w:rsidRPr="006C6E50">
              <w:rPr>
                <w:rFonts w:hint="eastAsia"/>
                <w:sz w:val="18"/>
                <w:szCs w:val="18"/>
              </w:rPr>
              <w:t>96</w:t>
            </w:r>
            <w:r w:rsidRPr="006C6E50">
              <w:rPr>
                <w:sz w:val="18"/>
                <w:szCs w:val="18"/>
              </w:rPr>
              <w:t>,</w:t>
            </w:r>
            <w:r w:rsidRPr="006C6E50">
              <w:rPr>
                <w:rFonts w:hint="eastAsia"/>
                <w:sz w:val="18"/>
                <w:szCs w:val="18"/>
              </w:rPr>
              <w:t>550</w:t>
            </w:r>
            <w:r w:rsidRPr="006C6E50">
              <w:rPr>
                <w:sz w:val="18"/>
                <w:szCs w:val="18"/>
              </w:rPr>
              <w:t>.00</w:t>
            </w:r>
          </w:p>
        </w:tc>
        <w:tc>
          <w:tcPr>
            <w:tcW w:w="1027" w:type="pct"/>
            <w:shd w:val="clear" w:color="auto" w:fill="auto"/>
            <w:vAlign w:val="center"/>
            <w:hideMark/>
          </w:tcPr>
          <w:p w:rsidR="00BA3138" w:rsidRPr="006C6E50" w:rsidRDefault="00BA3138" w:rsidP="00025338">
            <w:pPr>
              <w:widowControl/>
              <w:jc w:val="center"/>
              <w:rPr>
                <w:sz w:val="18"/>
                <w:szCs w:val="18"/>
              </w:rPr>
            </w:pPr>
            <w:r w:rsidRPr="006C6E50">
              <w:rPr>
                <w:rFonts w:hint="eastAsia"/>
                <w:sz w:val="18"/>
                <w:szCs w:val="18"/>
              </w:rPr>
              <w:t>17.64%</w:t>
            </w:r>
          </w:p>
        </w:tc>
      </w:tr>
      <w:tr w:rsidR="00BA3138" w:rsidRPr="006C6E50" w:rsidTr="00025338">
        <w:trPr>
          <w:trHeight w:val="397"/>
        </w:trPr>
        <w:tc>
          <w:tcPr>
            <w:tcW w:w="1027" w:type="pct"/>
            <w:shd w:val="clear" w:color="auto" w:fill="auto"/>
            <w:vAlign w:val="center"/>
            <w:hideMark/>
          </w:tcPr>
          <w:p w:rsidR="00BA3138" w:rsidRPr="006C6E50" w:rsidRDefault="00BA3138" w:rsidP="00025338">
            <w:pPr>
              <w:widowControl/>
              <w:jc w:val="center"/>
              <w:rPr>
                <w:rFonts w:ascii="宋体" w:hAnsi="宋体" w:cs="宋体"/>
                <w:b/>
                <w:bCs/>
                <w:sz w:val="18"/>
                <w:szCs w:val="18"/>
              </w:rPr>
            </w:pPr>
            <w:r w:rsidRPr="006C6E50">
              <w:rPr>
                <w:rFonts w:ascii="宋体" w:hAnsi="宋体" w:cs="宋体" w:hint="eastAsia"/>
                <w:b/>
                <w:bCs/>
                <w:sz w:val="18"/>
                <w:szCs w:val="18"/>
              </w:rPr>
              <w:t>合  计</w:t>
            </w:r>
          </w:p>
        </w:tc>
        <w:tc>
          <w:tcPr>
            <w:tcW w:w="892" w:type="pct"/>
            <w:shd w:val="clear" w:color="auto" w:fill="auto"/>
            <w:vAlign w:val="center"/>
            <w:hideMark/>
          </w:tcPr>
          <w:p w:rsidR="00BA3138" w:rsidRPr="006C6E50" w:rsidRDefault="00BA3138" w:rsidP="00025338">
            <w:pPr>
              <w:widowControl/>
              <w:jc w:val="center"/>
              <w:rPr>
                <w:b/>
                <w:bCs/>
                <w:sz w:val="18"/>
                <w:szCs w:val="18"/>
              </w:rPr>
            </w:pPr>
            <w:r w:rsidRPr="006C6E50">
              <w:rPr>
                <w:rFonts w:hint="eastAsia"/>
                <w:b/>
                <w:bCs/>
                <w:sz w:val="18"/>
                <w:szCs w:val="18"/>
              </w:rPr>
              <w:t>515</w:t>
            </w:r>
            <w:r w:rsidRPr="006C6E50">
              <w:rPr>
                <w:rFonts w:hint="eastAsia"/>
                <w:b/>
                <w:bCs/>
                <w:sz w:val="18"/>
                <w:szCs w:val="18"/>
              </w:rPr>
              <w:t>，</w:t>
            </w:r>
            <w:r w:rsidRPr="006C6E50">
              <w:rPr>
                <w:rFonts w:hint="eastAsia"/>
                <w:b/>
                <w:bCs/>
                <w:sz w:val="18"/>
                <w:szCs w:val="18"/>
              </w:rPr>
              <w:t>507</w:t>
            </w:r>
            <w:r w:rsidRPr="006C6E50">
              <w:rPr>
                <w:rFonts w:hint="eastAsia"/>
                <w:b/>
                <w:bCs/>
                <w:sz w:val="18"/>
                <w:szCs w:val="18"/>
              </w:rPr>
              <w:t>，</w:t>
            </w:r>
            <w:r w:rsidRPr="006C6E50">
              <w:rPr>
                <w:rFonts w:hint="eastAsia"/>
                <w:b/>
                <w:bCs/>
                <w:sz w:val="18"/>
                <w:szCs w:val="18"/>
              </w:rPr>
              <w:t>013</w:t>
            </w:r>
          </w:p>
        </w:tc>
        <w:tc>
          <w:tcPr>
            <w:tcW w:w="1027" w:type="pct"/>
            <w:shd w:val="clear" w:color="auto" w:fill="auto"/>
            <w:vAlign w:val="center"/>
            <w:hideMark/>
          </w:tcPr>
          <w:p w:rsidR="00BA3138" w:rsidRPr="006C6E50" w:rsidRDefault="00BA3138" w:rsidP="00025338">
            <w:pPr>
              <w:widowControl/>
              <w:jc w:val="center"/>
              <w:rPr>
                <w:b/>
                <w:bCs/>
                <w:sz w:val="18"/>
                <w:szCs w:val="18"/>
              </w:rPr>
            </w:pPr>
            <w:r w:rsidRPr="006C6E50">
              <w:rPr>
                <w:rFonts w:hint="eastAsia"/>
                <w:b/>
                <w:bCs/>
                <w:sz w:val="18"/>
                <w:szCs w:val="18"/>
              </w:rPr>
              <w:t>100.00%</w:t>
            </w:r>
          </w:p>
        </w:tc>
        <w:tc>
          <w:tcPr>
            <w:tcW w:w="1027" w:type="pct"/>
            <w:shd w:val="clear" w:color="auto" w:fill="auto"/>
            <w:vAlign w:val="center"/>
            <w:hideMark/>
          </w:tcPr>
          <w:p w:rsidR="00BA3138" w:rsidRPr="006C6E50" w:rsidRDefault="00BA3138" w:rsidP="00025338">
            <w:pPr>
              <w:widowControl/>
              <w:jc w:val="center"/>
              <w:rPr>
                <w:b/>
                <w:bCs/>
                <w:sz w:val="18"/>
                <w:szCs w:val="18"/>
              </w:rPr>
            </w:pPr>
            <w:r w:rsidRPr="006C6E50">
              <w:rPr>
                <w:b/>
                <w:bCs/>
                <w:sz w:val="18"/>
                <w:szCs w:val="18"/>
              </w:rPr>
              <w:t>500,492,190.00</w:t>
            </w:r>
          </w:p>
        </w:tc>
        <w:tc>
          <w:tcPr>
            <w:tcW w:w="1027" w:type="pct"/>
            <w:shd w:val="clear" w:color="auto" w:fill="auto"/>
            <w:vAlign w:val="center"/>
            <w:hideMark/>
          </w:tcPr>
          <w:p w:rsidR="00BA3138" w:rsidRPr="006C6E50" w:rsidRDefault="00BA3138" w:rsidP="00025338">
            <w:pPr>
              <w:widowControl/>
              <w:jc w:val="center"/>
              <w:rPr>
                <w:b/>
                <w:bCs/>
                <w:sz w:val="18"/>
                <w:szCs w:val="18"/>
              </w:rPr>
            </w:pPr>
            <w:r w:rsidRPr="006C6E50">
              <w:rPr>
                <w:b/>
                <w:bCs/>
                <w:sz w:val="18"/>
                <w:szCs w:val="18"/>
              </w:rPr>
              <w:t>100.00%</w:t>
            </w:r>
          </w:p>
        </w:tc>
      </w:tr>
    </w:tbl>
    <w:p w:rsidR="00BA3138" w:rsidRPr="000A3E79" w:rsidRDefault="00BA3138" w:rsidP="00BA3138">
      <w:pPr>
        <w:pStyle w:val="2"/>
        <w:spacing w:before="0" w:beforeAutospacing="0" w:after="0" w:afterAutospacing="0" w:line="500" w:lineRule="exact"/>
        <w:ind w:firstLineChars="200" w:firstLine="600"/>
        <w:jc w:val="both"/>
        <w:rPr>
          <w:rFonts w:ascii="仿宋" w:eastAsia="仿宋" w:hAnsi="仿宋"/>
          <w:b w:val="0"/>
          <w:bCs w:val="0"/>
          <w:kern w:val="2"/>
          <w:sz w:val="30"/>
          <w:szCs w:val="30"/>
        </w:rPr>
      </w:pPr>
      <w:r w:rsidRPr="000A3E79">
        <w:rPr>
          <w:rFonts w:ascii="仿宋" w:eastAsia="仿宋" w:hAnsi="仿宋" w:hint="eastAsia"/>
          <w:b w:val="0"/>
          <w:bCs w:val="0"/>
          <w:kern w:val="2"/>
          <w:sz w:val="30"/>
          <w:szCs w:val="30"/>
        </w:rPr>
        <w:t>2.股份转让变化情况</w:t>
      </w:r>
    </w:p>
    <w:p w:rsidR="00BA3138" w:rsidRPr="000A3E79" w:rsidRDefault="00BA3138" w:rsidP="00BA3138">
      <w:pPr>
        <w:pStyle w:val="2"/>
        <w:spacing w:before="0" w:beforeAutospacing="0" w:after="0" w:afterAutospacing="0" w:line="500" w:lineRule="exact"/>
        <w:ind w:firstLineChars="200" w:firstLine="600"/>
        <w:jc w:val="both"/>
        <w:rPr>
          <w:rFonts w:ascii="仿宋" w:eastAsia="仿宋" w:hAnsi="仿宋"/>
          <w:b w:val="0"/>
          <w:bCs w:val="0"/>
          <w:kern w:val="2"/>
          <w:sz w:val="30"/>
          <w:szCs w:val="30"/>
        </w:rPr>
      </w:pPr>
      <w:r w:rsidRPr="000A3E79">
        <w:rPr>
          <w:rFonts w:ascii="仿宋" w:eastAsia="仿宋" w:hAnsi="仿宋" w:hint="eastAsia"/>
          <w:b w:val="0"/>
          <w:bCs w:val="0"/>
          <w:kern w:val="2"/>
          <w:sz w:val="30"/>
          <w:szCs w:val="30"/>
        </w:rPr>
        <w:t xml:space="preserve">2023年度，本行严格按照监管规定、公司章程及股权管理办法规范股权转让行为，报告期内，共办理股权让35笔，金额1146.66万股。其中，经国家金融监管总局舟山监管批复同意，本行持股5%以上的三大股东之一浙江天海置业有限公司将所持698万股转让给舟山市龙山船厂有限公司。 </w:t>
      </w:r>
    </w:p>
    <w:p w:rsidR="00BA3138" w:rsidRPr="000A3E79" w:rsidRDefault="00BA3138" w:rsidP="00BA3138">
      <w:pPr>
        <w:pStyle w:val="2"/>
        <w:spacing w:before="0" w:beforeAutospacing="0" w:after="0" w:afterAutospacing="0" w:line="500" w:lineRule="exact"/>
        <w:ind w:firstLineChars="200" w:firstLine="600"/>
        <w:jc w:val="both"/>
        <w:rPr>
          <w:rFonts w:ascii="仿宋" w:eastAsia="仿宋" w:hAnsi="仿宋"/>
          <w:b w:val="0"/>
          <w:bCs w:val="0"/>
          <w:kern w:val="2"/>
          <w:sz w:val="30"/>
          <w:szCs w:val="30"/>
        </w:rPr>
      </w:pPr>
      <w:r w:rsidRPr="000A3E79">
        <w:rPr>
          <w:rFonts w:ascii="仿宋" w:eastAsia="仿宋" w:hAnsi="仿宋" w:hint="eastAsia"/>
          <w:b w:val="0"/>
          <w:bCs w:val="0"/>
          <w:kern w:val="2"/>
          <w:sz w:val="30"/>
          <w:szCs w:val="30"/>
        </w:rPr>
        <w:t>3.</w:t>
      </w:r>
      <w:r w:rsidRPr="000A3E79">
        <w:rPr>
          <w:rFonts w:ascii="仿宋" w:eastAsia="仿宋" w:hAnsi="仿宋"/>
          <w:b w:val="0"/>
          <w:bCs w:val="0"/>
          <w:kern w:val="2"/>
          <w:sz w:val="30"/>
          <w:szCs w:val="30"/>
        </w:rPr>
        <w:t>最大</w:t>
      </w:r>
      <w:r w:rsidRPr="000A3E79">
        <w:rPr>
          <w:rFonts w:ascii="仿宋" w:eastAsia="仿宋" w:hAnsi="仿宋" w:hint="eastAsia"/>
          <w:b w:val="0"/>
          <w:bCs w:val="0"/>
          <w:kern w:val="2"/>
          <w:sz w:val="30"/>
          <w:szCs w:val="30"/>
        </w:rPr>
        <w:t>10</w:t>
      </w:r>
      <w:r w:rsidRPr="000A3E79">
        <w:rPr>
          <w:rFonts w:ascii="仿宋" w:eastAsia="仿宋" w:hAnsi="仿宋"/>
          <w:b w:val="0"/>
          <w:bCs w:val="0"/>
          <w:kern w:val="2"/>
          <w:sz w:val="30"/>
          <w:szCs w:val="30"/>
        </w:rPr>
        <w:t>名股东持股情况</w:t>
      </w:r>
    </w:p>
    <w:tbl>
      <w:tblPr>
        <w:tblW w:w="5000" w:type="pct"/>
        <w:tblLook w:val="0000"/>
      </w:tblPr>
      <w:tblGrid>
        <w:gridCol w:w="1042"/>
        <w:gridCol w:w="3332"/>
        <w:gridCol w:w="1454"/>
        <w:gridCol w:w="2073"/>
        <w:gridCol w:w="1385"/>
      </w:tblGrid>
      <w:tr w:rsidR="00BA3138" w:rsidRPr="006C6E50" w:rsidTr="00025338">
        <w:trPr>
          <w:trHeight w:val="456"/>
        </w:trPr>
        <w:tc>
          <w:tcPr>
            <w:tcW w:w="561" w:type="pct"/>
            <w:tcBorders>
              <w:top w:val="single" w:sz="8" w:space="0" w:color="000000"/>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p>
        </w:tc>
        <w:tc>
          <w:tcPr>
            <w:tcW w:w="1794" w:type="pct"/>
            <w:tcBorders>
              <w:top w:val="single" w:sz="8" w:space="0" w:color="000000"/>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sz w:val="18"/>
                <w:szCs w:val="18"/>
              </w:rPr>
              <w:t>单位名称</w:t>
            </w:r>
          </w:p>
        </w:tc>
        <w:tc>
          <w:tcPr>
            <w:tcW w:w="783" w:type="pct"/>
            <w:tcBorders>
              <w:top w:val="single" w:sz="8" w:space="0" w:color="000000"/>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sz w:val="18"/>
                <w:szCs w:val="18"/>
              </w:rPr>
              <w:t>法定代表人</w:t>
            </w:r>
          </w:p>
        </w:tc>
        <w:tc>
          <w:tcPr>
            <w:tcW w:w="1116" w:type="pct"/>
            <w:tcBorders>
              <w:top w:val="single" w:sz="8" w:space="0" w:color="000000"/>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sz w:val="18"/>
                <w:szCs w:val="18"/>
              </w:rPr>
              <w:t>持股金额</w:t>
            </w:r>
            <w:r w:rsidRPr="006C6E50">
              <w:rPr>
                <w:rFonts w:ascii="宋体" w:hAnsi="宋体" w:hint="eastAsia"/>
                <w:sz w:val="18"/>
                <w:szCs w:val="18"/>
              </w:rPr>
              <w:t>(元)</w:t>
            </w:r>
          </w:p>
        </w:tc>
        <w:tc>
          <w:tcPr>
            <w:tcW w:w="746" w:type="pct"/>
            <w:tcBorders>
              <w:top w:val="single" w:sz="8" w:space="0" w:color="000000"/>
              <w:left w:val="nil"/>
              <w:bottom w:val="dotted" w:sz="4" w:space="0" w:color="000000"/>
              <w:right w:val="nil"/>
            </w:tcBorders>
            <w:vAlign w:val="center"/>
          </w:tcPr>
          <w:p w:rsidR="00BA3138" w:rsidRPr="006C6E50" w:rsidRDefault="00BA3138" w:rsidP="00025338">
            <w:pPr>
              <w:widowControl/>
              <w:jc w:val="center"/>
              <w:rPr>
                <w:rFonts w:ascii="宋体" w:hAnsi="宋体"/>
                <w:sz w:val="18"/>
                <w:szCs w:val="18"/>
              </w:rPr>
            </w:pPr>
            <w:r w:rsidRPr="006C6E50">
              <w:rPr>
                <w:rFonts w:ascii="宋体" w:hAnsi="宋体"/>
                <w:sz w:val="18"/>
                <w:szCs w:val="18"/>
              </w:rPr>
              <w:t>持股比例</w:t>
            </w:r>
            <w:r w:rsidRPr="006C6E50">
              <w:rPr>
                <w:rFonts w:ascii="宋体" w:hAnsi="宋体" w:hint="eastAsia"/>
                <w:sz w:val="18"/>
                <w:szCs w:val="18"/>
              </w:rPr>
              <w:t>（%）</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sz w:val="18"/>
                <w:szCs w:val="18"/>
              </w:rPr>
              <w:t>1</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舟山市龙山船厂有限公司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吴建军</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sz w:val="18"/>
                <w:szCs w:val="18"/>
              </w:rPr>
              <w:t>3</w:t>
            </w:r>
            <w:r w:rsidRPr="006C6E50">
              <w:rPr>
                <w:rFonts w:hint="eastAsia"/>
                <w:sz w:val="18"/>
                <w:szCs w:val="18"/>
              </w:rPr>
              <w:t>0</w:t>
            </w:r>
            <w:r w:rsidRPr="006C6E50">
              <w:rPr>
                <w:sz w:val="18"/>
                <w:szCs w:val="18"/>
              </w:rPr>
              <w:t>,</w:t>
            </w:r>
            <w:r w:rsidRPr="006C6E50">
              <w:rPr>
                <w:rFonts w:hint="eastAsia"/>
                <w:sz w:val="18"/>
                <w:szCs w:val="18"/>
              </w:rPr>
              <w:t>883</w:t>
            </w:r>
            <w:r w:rsidRPr="006C6E50">
              <w:rPr>
                <w:sz w:val="18"/>
                <w:szCs w:val="18"/>
              </w:rPr>
              <w:t>,</w:t>
            </w:r>
            <w:r w:rsidRPr="006C6E50">
              <w:rPr>
                <w:rFonts w:hint="eastAsia"/>
                <w:sz w:val="18"/>
                <w:szCs w:val="18"/>
              </w:rPr>
              <w:t>429</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rFonts w:hint="eastAsia"/>
                <w:sz w:val="18"/>
                <w:szCs w:val="18"/>
              </w:rPr>
              <w:t>5</w:t>
            </w:r>
            <w:r w:rsidRPr="006C6E50">
              <w:rPr>
                <w:sz w:val="18"/>
                <w:szCs w:val="18"/>
              </w:rPr>
              <w:t>.</w:t>
            </w:r>
            <w:r w:rsidRPr="006C6E50">
              <w:rPr>
                <w:rFonts w:hint="eastAsia"/>
                <w:sz w:val="18"/>
                <w:szCs w:val="18"/>
              </w:rPr>
              <w:t>99</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sz w:val="18"/>
                <w:szCs w:val="18"/>
              </w:rPr>
              <w:t>2</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hint="eastAsia"/>
                <w:sz w:val="18"/>
                <w:szCs w:val="18"/>
              </w:rPr>
              <w:t>舟山市国有资产投资经营有限公司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hint="eastAsia"/>
                <w:sz w:val="18"/>
                <w:szCs w:val="18"/>
              </w:rPr>
              <w:t>董慧跃</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sz w:val="18"/>
                <w:szCs w:val="18"/>
              </w:rPr>
              <w:t>25,</w:t>
            </w:r>
            <w:r w:rsidRPr="006C6E50">
              <w:rPr>
                <w:rFonts w:hint="eastAsia"/>
                <w:sz w:val="18"/>
                <w:szCs w:val="18"/>
              </w:rPr>
              <w:t>836</w:t>
            </w:r>
            <w:r w:rsidRPr="006C6E50">
              <w:rPr>
                <w:sz w:val="18"/>
                <w:szCs w:val="18"/>
              </w:rPr>
              <w:t>,</w:t>
            </w:r>
            <w:r w:rsidRPr="006C6E50">
              <w:rPr>
                <w:rFonts w:hint="eastAsia"/>
                <w:sz w:val="18"/>
                <w:szCs w:val="18"/>
              </w:rPr>
              <w:t>429</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sz w:val="18"/>
                <w:szCs w:val="18"/>
              </w:rPr>
              <w:t>5.01</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2</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舟山市金增农贸发展有限公司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叶海静</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sz w:val="18"/>
                <w:szCs w:val="18"/>
              </w:rPr>
              <w:t>25,</w:t>
            </w:r>
            <w:r w:rsidRPr="006C6E50">
              <w:rPr>
                <w:rFonts w:hint="eastAsia"/>
                <w:sz w:val="18"/>
                <w:szCs w:val="18"/>
              </w:rPr>
              <w:t>836</w:t>
            </w:r>
            <w:r w:rsidRPr="006C6E50">
              <w:rPr>
                <w:sz w:val="18"/>
                <w:szCs w:val="18"/>
              </w:rPr>
              <w:t>,</w:t>
            </w:r>
            <w:r w:rsidRPr="006C6E50">
              <w:rPr>
                <w:rFonts w:hint="eastAsia"/>
                <w:sz w:val="18"/>
                <w:szCs w:val="18"/>
              </w:rPr>
              <w:t>429</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sz w:val="18"/>
                <w:szCs w:val="18"/>
              </w:rPr>
              <w:t>5.01</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3</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舟山市普陀海汇水产有限公司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hint="eastAsia"/>
                <w:sz w:val="18"/>
                <w:szCs w:val="18"/>
              </w:rPr>
              <w:t>徐瑞忠</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sz w:val="18"/>
                <w:szCs w:val="18"/>
              </w:rPr>
              <w:t>1</w:t>
            </w:r>
            <w:r w:rsidRPr="006C6E50">
              <w:rPr>
                <w:rFonts w:hint="eastAsia"/>
                <w:sz w:val="18"/>
                <w:szCs w:val="18"/>
              </w:rPr>
              <w:t>9</w:t>
            </w:r>
            <w:r w:rsidRPr="006C6E50">
              <w:rPr>
                <w:sz w:val="18"/>
                <w:szCs w:val="18"/>
              </w:rPr>
              <w:t>,</w:t>
            </w:r>
            <w:r w:rsidRPr="006C6E50">
              <w:rPr>
                <w:rFonts w:hint="eastAsia"/>
                <w:sz w:val="18"/>
                <w:szCs w:val="18"/>
              </w:rPr>
              <w:t>433</w:t>
            </w:r>
            <w:r w:rsidRPr="006C6E50">
              <w:rPr>
                <w:sz w:val="18"/>
                <w:szCs w:val="18"/>
              </w:rPr>
              <w:t>,</w:t>
            </w:r>
            <w:r w:rsidRPr="006C6E50">
              <w:rPr>
                <w:rFonts w:hint="eastAsia"/>
                <w:sz w:val="18"/>
                <w:szCs w:val="18"/>
              </w:rPr>
              <w:t>916</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sz w:val="18"/>
                <w:szCs w:val="18"/>
              </w:rPr>
              <w:t>3.7</w:t>
            </w:r>
            <w:r w:rsidRPr="006C6E50">
              <w:rPr>
                <w:rFonts w:hint="eastAsia"/>
                <w:sz w:val="18"/>
                <w:szCs w:val="18"/>
              </w:rPr>
              <w:t>7</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4</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浙江天海置业发展有限公司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马平洲</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rFonts w:hint="eastAsia"/>
                <w:sz w:val="18"/>
                <w:szCs w:val="18"/>
              </w:rPr>
              <w:t>18</w:t>
            </w:r>
            <w:r w:rsidRPr="006C6E50">
              <w:rPr>
                <w:sz w:val="18"/>
                <w:szCs w:val="18"/>
              </w:rPr>
              <w:t>,</w:t>
            </w:r>
            <w:r w:rsidRPr="006C6E50">
              <w:rPr>
                <w:rFonts w:hint="eastAsia"/>
                <w:sz w:val="18"/>
                <w:szCs w:val="18"/>
              </w:rPr>
              <w:t>647</w:t>
            </w:r>
            <w:r w:rsidRPr="006C6E50">
              <w:rPr>
                <w:sz w:val="18"/>
                <w:szCs w:val="18"/>
              </w:rPr>
              <w:t>,</w:t>
            </w:r>
            <w:r w:rsidRPr="006C6E50">
              <w:rPr>
                <w:rFonts w:hint="eastAsia"/>
                <w:sz w:val="18"/>
                <w:szCs w:val="18"/>
              </w:rPr>
              <w:t>029</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rFonts w:hint="eastAsia"/>
                <w:sz w:val="18"/>
                <w:szCs w:val="18"/>
              </w:rPr>
              <w:t>3</w:t>
            </w:r>
            <w:r w:rsidRPr="006C6E50">
              <w:rPr>
                <w:sz w:val="18"/>
                <w:szCs w:val="18"/>
              </w:rPr>
              <w:t>.</w:t>
            </w:r>
            <w:r w:rsidRPr="006C6E50">
              <w:rPr>
                <w:rFonts w:hint="eastAsia"/>
                <w:sz w:val="18"/>
                <w:szCs w:val="18"/>
              </w:rPr>
              <w:t>62</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5</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浙江海士德食品有限公司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沈永南</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sz w:val="18"/>
                <w:szCs w:val="18"/>
              </w:rPr>
              <w:t>14,</w:t>
            </w:r>
            <w:r w:rsidRPr="006C6E50">
              <w:rPr>
                <w:rFonts w:hint="eastAsia"/>
                <w:sz w:val="18"/>
                <w:szCs w:val="18"/>
              </w:rPr>
              <w:t>687</w:t>
            </w:r>
            <w:r w:rsidRPr="006C6E50">
              <w:rPr>
                <w:sz w:val="18"/>
                <w:szCs w:val="18"/>
              </w:rPr>
              <w:t>,</w:t>
            </w:r>
            <w:r w:rsidRPr="006C6E50">
              <w:rPr>
                <w:rFonts w:hint="eastAsia"/>
                <w:sz w:val="18"/>
                <w:szCs w:val="18"/>
              </w:rPr>
              <w:t>341</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sz w:val="18"/>
                <w:szCs w:val="18"/>
              </w:rPr>
              <w:t>2.8</w:t>
            </w:r>
            <w:r w:rsidRPr="006C6E50">
              <w:rPr>
                <w:rFonts w:hint="eastAsia"/>
                <w:sz w:val="18"/>
                <w:szCs w:val="18"/>
              </w:rPr>
              <w:t>5</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6</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浙江鑫旺食品有限公司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翁永妙</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sz w:val="18"/>
                <w:szCs w:val="18"/>
              </w:rPr>
              <w:t>8,</w:t>
            </w:r>
            <w:r w:rsidRPr="006C6E50">
              <w:rPr>
                <w:rFonts w:hint="eastAsia"/>
                <w:sz w:val="18"/>
                <w:szCs w:val="18"/>
              </w:rPr>
              <w:t>346</w:t>
            </w:r>
            <w:r w:rsidRPr="006C6E50">
              <w:rPr>
                <w:sz w:val="18"/>
                <w:szCs w:val="18"/>
              </w:rPr>
              <w:t>,</w:t>
            </w:r>
            <w:r w:rsidRPr="006C6E50">
              <w:rPr>
                <w:rFonts w:hint="eastAsia"/>
                <w:sz w:val="18"/>
                <w:szCs w:val="18"/>
              </w:rPr>
              <w:t>337</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sz w:val="18"/>
                <w:szCs w:val="18"/>
              </w:rPr>
              <w:t>1.6</w:t>
            </w:r>
            <w:r w:rsidRPr="006C6E50">
              <w:rPr>
                <w:rFonts w:hint="eastAsia"/>
                <w:sz w:val="18"/>
                <w:szCs w:val="18"/>
              </w:rPr>
              <w:t>2</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7</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hint="eastAsia"/>
                <w:sz w:val="18"/>
                <w:szCs w:val="18"/>
              </w:rPr>
              <w:t>舟山昊海水产有限公司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hint="eastAsia"/>
                <w:sz w:val="18"/>
                <w:szCs w:val="18"/>
              </w:rPr>
              <w:t>林彩飞</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sz w:val="18"/>
                <w:szCs w:val="18"/>
              </w:rPr>
              <w:t>7</w:t>
            </w:r>
            <w:r w:rsidRPr="006C6E50">
              <w:rPr>
                <w:rFonts w:hint="eastAsia"/>
                <w:sz w:val="18"/>
                <w:szCs w:val="18"/>
              </w:rPr>
              <w:t>，</w:t>
            </w:r>
            <w:r w:rsidRPr="006C6E50">
              <w:rPr>
                <w:rFonts w:hint="eastAsia"/>
                <w:sz w:val="18"/>
                <w:szCs w:val="18"/>
              </w:rPr>
              <w:t>977</w:t>
            </w:r>
            <w:r w:rsidRPr="006C6E50">
              <w:rPr>
                <w:rFonts w:hint="eastAsia"/>
                <w:sz w:val="18"/>
                <w:szCs w:val="18"/>
              </w:rPr>
              <w:t>，</w:t>
            </w:r>
            <w:r w:rsidRPr="006C6E50">
              <w:rPr>
                <w:rFonts w:hint="eastAsia"/>
                <w:sz w:val="18"/>
                <w:szCs w:val="18"/>
              </w:rPr>
              <w:t>202</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rFonts w:hint="eastAsia"/>
                <w:sz w:val="18"/>
                <w:szCs w:val="18"/>
              </w:rPr>
              <w:t>1.55</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8</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舟山恒尊贸易有限公司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孙正壹</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rFonts w:hint="eastAsia"/>
                <w:sz w:val="18"/>
                <w:szCs w:val="18"/>
              </w:rPr>
              <w:t>6</w:t>
            </w:r>
            <w:r w:rsidRPr="006C6E50">
              <w:rPr>
                <w:sz w:val="18"/>
                <w:szCs w:val="18"/>
              </w:rPr>
              <w:t>,</w:t>
            </w:r>
            <w:r w:rsidRPr="006C6E50">
              <w:rPr>
                <w:rFonts w:hint="eastAsia"/>
                <w:sz w:val="18"/>
                <w:szCs w:val="18"/>
              </w:rPr>
              <w:t>164</w:t>
            </w:r>
            <w:r w:rsidRPr="006C6E50">
              <w:rPr>
                <w:sz w:val="18"/>
                <w:szCs w:val="18"/>
              </w:rPr>
              <w:t>,</w:t>
            </w:r>
            <w:r w:rsidRPr="006C6E50">
              <w:rPr>
                <w:rFonts w:hint="eastAsia"/>
                <w:sz w:val="18"/>
                <w:szCs w:val="18"/>
              </w:rPr>
              <w:t>550</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sz w:val="18"/>
                <w:szCs w:val="18"/>
              </w:rPr>
              <w:t>1.</w:t>
            </w:r>
            <w:r w:rsidRPr="006C6E50">
              <w:rPr>
                <w:rFonts w:hint="eastAsia"/>
                <w:sz w:val="18"/>
                <w:szCs w:val="18"/>
              </w:rPr>
              <w:t>20</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lastRenderedPageBreak/>
              <w:t>9</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舟山市晟泰水产有限公司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sz w:val="18"/>
                <w:szCs w:val="18"/>
              </w:rPr>
              <w:t>邱</w:t>
            </w:r>
            <w:r w:rsidRPr="006C6E50">
              <w:rPr>
                <w:rFonts w:ascii="宋体" w:hAnsi="宋体" w:hint="eastAsia"/>
                <w:sz w:val="18"/>
                <w:szCs w:val="18"/>
              </w:rPr>
              <w:t>舟光</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rFonts w:hint="eastAsia"/>
                <w:sz w:val="18"/>
                <w:szCs w:val="18"/>
              </w:rPr>
              <w:t>5</w:t>
            </w:r>
            <w:r w:rsidRPr="006C6E50">
              <w:rPr>
                <w:sz w:val="18"/>
                <w:szCs w:val="18"/>
              </w:rPr>
              <w:t>,</w:t>
            </w:r>
            <w:r w:rsidRPr="006C6E50">
              <w:rPr>
                <w:rFonts w:hint="eastAsia"/>
                <w:sz w:val="18"/>
                <w:szCs w:val="18"/>
              </w:rPr>
              <w:t>974</w:t>
            </w:r>
            <w:r w:rsidRPr="006C6E50">
              <w:rPr>
                <w:sz w:val="18"/>
                <w:szCs w:val="18"/>
              </w:rPr>
              <w:t>,</w:t>
            </w:r>
            <w:r w:rsidRPr="006C6E50">
              <w:rPr>
                <w:rFonts w:hint="eastAsia"/>
                <w:sz w:val="18"/>
                <w:szCs w:val="18"/>
              </w:rPr>
              <w:t>832</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sz w:val="18"/>
                <w:szCs w:val="18"/>
              </w:rPr>
              <w:t>1.</w:t>
            </w:r>
            <w:r w:rsidRPr="006C6E50">
              <w:rPr>
                <w:rFonts w:hint="eastAsia"/>
                <w:sz w:val="18"/>
                <w:szCs w:val="18"/>
              </w:rPr>
              <w:t>16</w:t>
            </w:r>
          </w:p>
        </w:tc>
      </w:tr>
      <w:tr w:rsidR="00BA3138" w:rsidRPr="006C6E50" w:rsidTr="00025338">
        <w:trPr>
          <w:trHeight w:val="456"/>
        </w:trPr>
        <w:tc>
          <w:tcPr>
            <w:tcW w:w="561" w:type="pct"/>
            <w:tcBorders>
              <w:top w:val="nil"/>
              <w:left w:val="nil"/>
              <w:bottom w:val="dotted" w:sz="4" w:space="0" w:color="000000"/>
              <w:right w:val="dotted" w:sz="4" w:space="0" w:color="000000"/>
            </w:tcBorders>
            <w:vAlign w:val="center"/>
          </w:tcPr>
          <w:p w:rsidR="00BA3138" w:rsidRPr="006C6E50" w:rsidRDefault="00BA3138" w:rsidP="00025338">
            <w:pPr>
              <w:widowControl/>
              <w:jc w:val="center"/>
              <w:rPr>
                <w:rFonts w:ascii="宋体" w:hAnsi="宋体"/>
                <w:sz w:val="18"/>
                <w:szCs w:val="18"/>
              </w:rPr>
            </w:pPr>
            <w:r w:rsidRPr="006C6E50">
              <w:rPr>
                <w:rFonts w:ascii="宋体" w:hAnsi="宋体" w:hint="eastAsia"/>
                <w:sz w:val="18"/>
                <w:szCs w:val="18"/>
              </w:rPr>
              <w:t>10</w:t>
            </w:r>
          </w:p>
        </w:tc>
        <w:tc>
          <w:tcPr>
            <w:tcW w:w="1794"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hint="eastAsia"/>
                <w:sz w:val="18"/>
                <w:szCs w:val="18"/>
              </w:rPr>
              <w:t>宁波威瑜辰贸易有限公司</w:t>
            </w:r>
          </w:p>
        </w:tc>
        <w:tc>
          <w:tcPr>
            <w:tcW w:w="783" w:type="pct"/>
            <w:tcBorders>
              <w:top w:val="nil"/>
              <w:left w:val="nil"/>
              <w:bottom w:val="dotted" w:sz="4" w:space="0" w:color="000000"/>
              <w:right w:val="dotted" w:sz="4" w:space="0" w:color="000000"/>
            </w:tcBorders>
            <w:vAlign w:val="center"/>
          </w:tcPr>
          <w:p w:rsidR="00BA3138" w:rsidRPr="006C6E50" w:rsidRDefault="00BA3138" w:rsidP="00025338">
            <w:pPr>
              <w:widowControl/>
              <w:rPr>
                <w:rFonts w:ascii="宋体" w:hAnsi="宋体"/>
                <w:sz w:val="18"/>
                <w:szCs w:val="18"/>
              </w:rPr>
            </w:pPr>
            <w:r w:rsidRPr="006C6E50">
              <w:rPr>
                <w:rFonts w:ascii="宋体" w:hAnsi="宋体" w:hint="eastAsia"/>
                <w:sz w:val="18"/>
                <w:szCs w:val="18"/>
              </w:rPr>
              <w:t>郑威力</w:t>
            </w:r>
          </w:p>
        </w:tc>
        <w:tc>
          <w:tcPr>
            <w:tcW w:w="1116" w:type="pct"/>
            <w:tcBorders>
              <w:top w:val="nil"/>
              <w:left w:val="nil"/>
              <w:bottom w:val="dotted" w:sz="4" w:space="0" w:color="000000"/>
              <w:right w:val="dotted" w:sz="4" w:space="0" w:color="000000"/>
            </w:tcBorders>
            <w:vAlign w:val="center"/>
          </w:tcPr>
          <w:p w:rsidR="00BA3138" w:rsidRPr="006C6E50" w:rsidRDefault="00BA3138" w:rsidP="00025338">
            <w:pPr>
              <w:widowControl/>
              <w:jc w:val="right"/>
              <w:rPr>
                <w:sz w:val="18"/>
                <w:szCs w:val="18"/>
              </w:rPr>
            </w:pPr>
            <w:r w:rsidRPr="006C6E50">
              <w:rPr>
                <w:rFonts w:hint="eastAsia"/>
                <w:sz w:val="18"/>
                <w:szCs w:val="18"/>
              </w:rPr>
              <w:t>4</w:t>
            </w:r>
            <w:r w:rsidRPr="006C6E50">
              <w:rPr>
                <w:sz w:val="18"/>
                <w:szCs w:val="18"/>
              </w:rPr>
              <w:t>,</w:t>
            </w:r>
            <w:r w:rsidRPr="006C6E50">
              <w:rPr>
                <w:rFonts w:hint="eastAsia"/>
                <w:sz w:val="18"/>
                <w:szCs w:val="18"/>
              </w:rPr>
              <w:t>897</w:t>
            </w:r>
            <w:r w:rsidRPr="006C6E50">
              <w:rPr>
                <w:sz w:val="18"/>
                <w:szCs w:val="18"/>
              </w:rPr>
              <w:t>,</w:t>
            </w:r>
            <w:r w:rsidRPr="006C6E50">
              <w:rPr>
                <w:rFonts w:hint="eastAsia"/>
                <w:sz w:val="18"/>
                <w:szCs w:val="18"/>
              </w:rPr>
              <w:t>922</w:t>
            </w:r>
            <w:r w:rsidRPr="006C6E50">
              <w:rPr>
                <w:sz w:val="18"/>
                <w:szCs w:val="18"/>
              </w:rPr>
              <w:t>.00</w:t>
            </w:r>
          </w:p>
        </w:tc>
        <w:tc>
          <w:tcPr>
            <w:tcW w:w="746" w:type="pct"/>
            <w:tcBorders>
              <w:top w:val="nil"/>
              <w:left w:val="nil"/>
              <w:bottom w:val="dotted" w:sz="4" w:space="0" w:color="000000"/>
              <w:right w:val="nil"/>
            </w:tcBorders>
            <w:vAlign w:val="center"/>
          </w:tcPr>
          <w:p w:rsidR="00BA3138" w:rsidRPr="006C6E50" w:rsidRDefault="00BA3138" w:rsidP="00025338">
            <w:pPr>
              <w:widowControl/>
              <w:jc w:val="center"/>
              <w:rPr>
                <w:sz w:val="18"/>
                <w:szCs w:val="18"/>
              </w:rPr>
            </w:pPr>
            <w:r w:rsidRPr="006C6E50">
              <w:rPr>
                <w:rFonts w:hint="eastAsia"/>
                <w:sz w:val="18"/>
                <w:szCs w:val="18"/>
              </w:rPr>
              <w:t>0</w:t>
            </w:r>
            <w:r w:rsidRPr="006C6E50">
              <w:rPr>
                <w:sz w:val="18"/>
                <w:szCs w:val="18"/>
              </w:rPr>
              <w:t>.</w:t>
            </w:r>
            <w:r w:rsidRPr="006C6E50">
              <w:rPr>
                <w:rFonts w:hint="eastAsia"/>
                <w:sz w:val="18"/>
                <w:szCs w:val="18"/>
              </w:rPr>
              <w:t>95</w:t>
            </w:r>
          </w:p>
        </w:tc>
      </w:tr>
      <w:tr w:rsidR="00BA3138" w:rsidRPr="006C6E50" w:rsidTr="00025338">
        <w:trPr>
          <w:trHeight w:val="456"/>
        </w:trPr>
        <w:tc>
          <w:tcPr>
            <w:tcW w:w="561" w:type="pct"/>
            <w:tcBorders>
              <w:top w:val="nil"/>
              <w:left w:val="nil"/>
              <w:bottom w:val="single" w:sz="8" w:space="0" w:color="000000"/>
              <w:right w:val="dotted" w:sz="4" w:space="0" w:color="000000"/>
            </w:tcBorders>
            <w:vAlign w:val="center"/>
          </w:tcPr>
          <w:p w:rsidR="00BA3138" w:rsidRPr="006C6E50" w:rsidRDefault="00BA3138" w:rsidP="00025338">
            <w:pPr>
              <w:widowControl/>
              <w:jc w:val="center"/>
              <w:rPr>
                <w:rFonts w:ascii="宋体" w:hAnsi="宋体"/>
                <w:b/>
                <w:bCs/>
                <w:sz w:val="18"/>
                <w:szCs w:val="18"/>
              </w:rPr>
            </w:pPr>
          </w:p>
        </w:tc>
        <w:tc>
          <w:tcPr>
            <w:tcW w:w="1794" w:type="pct"/>
            <w:tcBorders>
              <w:top w:val="nil"/>
              <w:left w:val="nil"/>
              <w:bottom w:val="single" w:sz="8" w:space="0" w:color="000000"/>
              <w:right w:val="dotted" w:sz="4" w:space="0" w:color="000000"/>
            </w:tcBorders>
            <w:vAlign w:val="center"/>
          </w:tcPr>
          <w:p w:rsidR="00BA3138" w:rsidRPr="006C6E50" w:rsidRDefault="00BA3138" w:rsidP="00025338">
            <w:pPr>
              <w:widowControl/>
              <w:jc w:val="center"/>
              <w:rPr>
                <w:rFonts w:ascii="宋体" w:hAnsi="宋体"/>
                <w:b/>
                <w:bCs/>
                <w:sz w:val="18"/>
                <w:szCs w:val="18"/>
              </w:rPr>
            </w:pPr>
            <w:r w:rsidRPr="006C6E50">
              <w:rPr>
                <w:rFonts w:ascii="宋体" w:hAnsi="宋体"/>
                <w:b/>
                <w:bCs/>
                <w:sz w:val="18"/>
                <w:szCs w:val="18"/>
              </w:rPr>
              <w:t>合计</w:t>
            </w:r>
            <w:r w:rsidRPr="006C6E50">
              <w:rPr>
                <w:rFonts w:ascii="宋体" w:hAnsi="宋体"/>
                <w:b/>
                <w:bCs/>
                <w:sz w:val="18"/>
                <w:szCs w:val="18"/>
                <w:lang w:val="en-NZ"/>
              </w:rPr>
              <w:t xml:space="preserve">　</w:t>
            </w:r>
          </w:p>
        </w:tc>
        <w:tc>
          <w:tcPr>
            <w:tcW w:w="783" w:type="pct"/>
            <w:tcBorders>
              <w:top w:val="nil"/>
              <w:left w:val="nil"/>
              <w:bottom w:val="single" w:sz="8" w:space="0" w:color="000000"/>
              <w:right w:val="dotted" w:sz="4" w:space="0" w:color="000000"/>
            </w:tcBorders>
            <w:vAlign w:val="center"/>
          </w:tcPr>
          <w:p w:rsidR="00BA3138" w:rsidRPr="006C6E50" w:rsidRDefault="00BA3138" w:rsidP="00025338">
            <w:pPr>
              <w:widowControl/>
              <w:jc w:val="center"/>
              <w:rPr>
                <w:rFonts w:ascii="宋体" w:hAnsi="宋体"/>
                <w:b/>
                <w:bCs/>
                <w:sz w:val="18"/>
                <w:szCs w:val="18"/>
              </w:rPr>
            </w:pPr>
            <w:r w:rsidRPr="006C6E50">
              <w:rPr>
                <w:rFonts w:ascii="宋体" w:hAnsi="宋体"/>
                <w:b/>
                <w:bCs/>
                <w:sz w:val="18"/>
                <w:szCs w:val="18"/>
                <w:lang w:val="en-NZ"/>
              </w:rPr>
              <w:t xml:space="preserve">　</w:t>
            </w:r>
          </w:p>
        </w:tc>
        <w:tc>
          <w:tcPr>
            <w:tcW w:w="1116" w:type="pct"/>
            <w:tcBorders>
              <w:top w:val="nil"/>
              <w:left w:val="nil"/>
              <w:bottom w:val="single" w:sz="8" w:space="0" w:color="000000"/>
              <w:right w:val="dotted" w:sz="4" w:space="0" w:color="000000"/>
            </w:tcBorders>
            <w:vAlign w:val="center"/>
          </w:tcPr>
          <w:p w:rsidR="00BA3138" w:rsidRPr="006C6E50" w:rsidRDefault="00BA3138" w:rsidP="00025338">
            <w:pPr>
              <w:widowControl/>
              <w:jc w:val="right"/>
              <w:rPr>
                <w:b/>
                <w:bCs/>
                <w:sz w:val="18"/>
                <w:szCs w:val="18"/>
              </w:rPr>
            </w:pPr>
            <w:r w:rsidRPr="006C6E50">
              <w:rPr>
                <w:b/>
                <w:bCs/>
                <w:sz w:val="18"/>
                <w:szCs w:val="18"/>
              </w:rPr>
              <w:t>1</w:t>
            </w:r>
            <w:r w:rsidRPr="006C6E50">
              <w:rPr>
                <w:rFonts w:hint="eastAsia"/>
                <w:b/>
                <w:bCs/>
                <w:sz w:val="18"/>
                <w:szCs w:val="18"/>
              </w:rPr>
              <w:t>68</w:t>
            </w:r>
            <w:r w:rsidRPr="006C6E50">
              <w:rPr>
                <w:b/>
                <w:bCs/>
                <w:sz w:val="18"/>
                <w:szCs w:val="18"/>
              </w:rPr>
              <w:t>,</w:t>
            </w:r>
            <w:r w:rsidRPr="006C6E50">
              <w:rPr>
                <w:rFonts w:hint="eastAsia"/>
                <w:b/>
                <w:bCs/>
                <w:sz w:val="18"/>
                <w:szCs w:val="18"/>
              </w:rPr>
              <w:t>685</w:t>
            </w:r>
            <w:r w:rsidRPr="006C6E50">
              <w:rPr>
                <w:b/>
                <w:bCs/>
                <w:sz w:val="18"/>
                <w:szCs w:val="18"/>
              </w:rPr>
              <w:t>,</w:t>
            </w:r>
            <w:r w:rsidRPr="006C6E50">
              <w:rPr>
                <w:rFonts w:hint="eastAsia"/>
                <w:b/>
                <w:bCs/>
                <w:sz w:val="18"/>
                <w:szCs w:val="18"/>
              </w:rPr>
              <w:t>416</w:t>
            </w:r>
            <w:r w:rsidRPr="006C6E50">
              <w:rPr>
                <w:b/>
                <w:bCs/>
                <w:sz w:val="18"/>
                <w:szCs w:val="18"/>
              </w:rPr>
              <w:t>.00</w:t>
            </w:r>
          </w:p>
        </w:tc>
        <w:tc>
          <w:tcPr>
            <w:tcW w:w="746" w:type="pct"/>
            <w:tcBorders>
              <w:top w:val="nil"/>
              <w:left w:val="nil"/>
              <w:bottom w:val="single" w:sz="8" w:space="0" w:color="000000"/>
              <w:right w:val="nil"/>
            </w:tcBorders>
            <w:vAlign w:val="center"/>
          </w:tcPr>
          <w:p w:rsidR="00BA3138" w:rsidRPr="006C6E50" w:rsidRDefault="00BA3138" w:rsidP="00025338">
            <w:pPr>
              <w:widowControl/>
              <w:jc w:val="center"/>
              <w:rPr>
                <w:b/>
                <w:bCs/>
                <w:sz w:val="18"/>
                <w:szCs w:val="18"/>
              </w:rPr>
            </w:pPr>
            <w:r w:rsidRPr="006C6E50">
              <w:rPr>
                <w:b/>
                <w:bCs/>
                <w:sz w:val="18"/>
                <w:szCs w:val="18"/>
              </w:rPr>
              <w:t>3</w:t>
            </w:r>
            <w:r w:rsidRPr="006C6E50">
              <w:rPr>
                <w:rFonts w:hint="eastAsia"/>
                <w:b/>
                <w:bCs/>
                <w:sz w:val="18"/>
                <w:szCs w:val="18"/>
              </w:rPr>
              <w:t>2</w:t>
            </w:r>
            <w:r w:rsidRPr="006C6E50">
              <w:rPr>
                <w:b/>
                <w:bCs/>
                <w:sz w:val="18"/>
                <w:szCs w:val="18"/>
              </w:rPr>
              <w:t>.</w:t>
            </w:r>
            <w:r w:rsidRPr="006C6E50">
              <w:rPr>
                <w:rFonts w:hint="eastAsia"/>
                <w:b/>
                <w:bCs/>
                <w:sz w:val="18"/>
                <w:szCs w:val="18"/>
              </w:rPr>
              <w:t>73</w:t>
            </w:r>
          </w:p>
        </w:tc>
      </w:tr>
    </w:tbl>
    <w:p w:rsidR="00BA3138" w:rsidRPr="006C6E50" w:rsidRDefault="00BA3138" w:rsidP="00BA3138">
      <w:pPr>
        <w:spacing w:line="1" w:lineRule="exact"/>
        <w:rPr>
          <w:sz w:val="20"/>
          <w:szCs w:val="20"/>
        </w:rPr>
      </w:pP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4.实际控制人及其控制本公司情况的简要说明</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本行法定代表人缪军，为本行董事长，其本人持有本行股份531082股，持股比例0.1%。</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5.股份质押、冻结、托管情况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（1）股东所持本行股份质押情况。</w:t>
      </w:r>
      <w:r w:rsidRPr="000A3E79">
        <w:rPr>
          <w:rFonts w:ascii="仿宋" w:eastAsia="仿宋" w:hAnsi="仿宋"/>
          <w:sz w:val="30"/>
          <w:szCs w:val="30"/>
        </w:rPr>
        <w:t>截至202</w:t>
      </w:r>
      <w:r w:rsidRPr="000A3E79">
        <w:rPr>
          <w:rFonts w:ascii="仿宋" w:eastAsia="仿宋" w:hAnsi="仿宋" w:hint="eastAsia"/>
          <w:sz w:val="30"/>
          <w:szCs w:val="30"/>
        </w:rPr>
        <w:t>3</w:t>
      </w:r>
      <w:r w:rsidRPr="000A3E79">
        <w:rPr>
          <w:rFonts w:ascii="仿宋" w:eastAsia="仿宋" w:hAnsi="仿宋"/>
          <w:sz w:val="30"/>
          <w:szCs w:val="30"/>
        </w:rPr>
        <w:t>年12月31日，</w:t>
      </w:r>
      <w:r w:rsidRPr="000A3E79">
        <w:rPr>
          <w:rFonts w:ascii="仿宋" w:eastAsia="仿宋" w:hAnsi="仿宋" w:hint="eastAsia"/>
          <w:sz w:val="30"/>
          <w:szCs w:val="30"/>
        </w:rPr>
        <w:t>本行共有2户股东质押所持股权，涉及股权1640万股，占总股本的3.18%，其中浙江天海置业发展有限公司的股权出质率为37.54%，舟山市普陀海汇水产有限公司股权出质率为48.37%。具体明细如下：</w:t>
      </w:r>
    </w:p>
    <w:p w:rsidR="00BA3138" w:rsidRPr="006C6E50" w:rsidRDefault="00BA3138" w:rsidP="00BA3138">
      <w:pPr>
        <w:ind w:firstLineChars="3100" w:firstLine="6510"/>
      </w:pPr>
      <w:r w:rsidRPr="006C6E50">
        <w:rPr>
          <w:rFonts w:hint="eastAsia"/>
        </w:rPr>
        <w:t>单位：股、</w:t>
      </w:r>
      <w:r w:rsidRPr="006C6E50">
        <w:rPr>
          <w:rFonts w:hint="eastAsia"/>
        </w:rPr>
        <w:t>%</w:t>
      </w:r>
    </w:p>
    <w:tbl>
      <w:tblPr>
        <w:tblW w:w="5000" w:type="pct"/>
        <w:tblLayout w:type="fixed"/>
        <w:tblLook w:val="04A0"/>
      </w:tblPr>
      <w:tblGrid>
        <w:gridCol w:w="675"/>
        <w:gridCol w:w="2693"/>
        <w:gridCol w:w="1306"/>
        <w:gridCol w:w="1389"/>
        <w:gridCol w:w="2411"/>
        <w:gridCol w:w="812"/>
      </w:tblGrid>
      <w:tr w:rsidR="00BA3138" w:rsidRPr="006C6E50" w:rsidTr="00025338">
        <w:trPr>
          <w:trHeight w:val="397"/>
        </w:trPr>
        <w:tc>
          <w:tcPr>
            <w:tcW w:w="363" w:type="pct"/>
            <w:tcBorders>
              <w:top w:val="single" w:sz="12" w:space="0" w:color="000000"/>
              <w:left w:val="nil"/>
              <w:bottom w:val="dotted" w:sz="4" w:space="0" w:color="auto"/>
              <w:right w:val="dotted" w:sz="4" w:space="0" w:color="auto"/>
            </w:tcBorders>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序号</w:t>
            </w:r>
          </w:p>
        </w:tc>
        <w:tc>
          <w:tcPr>
            <w:tcW w:w="1450" w:type="pct"/>
            <w:tcBorders>
              <w:top w:val="single" w:sz="12" w:space="0" w:color="000000"/>
              <w:left w:val="nil"/>
              <w:bottom w:val="dotted" w:sz="4" w:space="0" w:color="auto"/>
              <w:right w:val="dotted" w:sz="4" w:space="0" w:color="auto"/>
            </w:tcBorders>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股东名称</w:t>
            </w:r>
          </w:p>
        </w:tc>
        <w:tc>
          <w:tcPr>
            <w:tcW w:w="703" w:type="pct"/>
            <w:tcBorders>
              <w:top w:val="single" w:sz="12" w:space="0" w:color="000000"/>
              <w:left w:val="nil"/>
              <w:bottom w:val="dotted" w:sz="4" w:space="0" w:color="auto"/>
              <w:right w:val="dotted" w:sz="4" w:space="0" w:color="auto"/>
            </w:tcBorders>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股权余额</w:t>
            </w:r>
          </w:p>
        </w:tc>
        <w:tc>
          <w:tcPr>
            <w:tcW w:w="748" w:type="pct"/>
            <w:tcBorders>
              <w:top w:val="single" w:sz="12" w:space="0" w:color="000000"/>
              <w:left w:val="nil"/>
              <w:bottom w:val="dotted" w:sz="4" w:space="0" w:color="auto"/>
              <w:right w:val="dotted" w:sz="4" w:space="0" w:color="auto"/>
            </w:tcBorders>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质押股权数</w:t>
            </w:r>
          </w:p>
        </w:tc>
        <w:tc>
          <w:tcPr>
            <w:tcW w:w="1298" w:type="pct"/>
            <w:tcBorders>
              <w:top w:val="single" w:sz="12" w:space="0" w:color="000000"/>
              <w:left w:val="nil"/>
              <w:bottom w:val="dotted" w:sz="4" w:space="0" w:color="auto"/>
              <w:right w:val="dotted" w:sz="4" w:space="0" w:color="auto"/>
            </w:tcBorders>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质权人名称</w:t>
            </w:r>
          </w:p>
        </w:tc>
        <w:tc>
          <w:tcPr>
            <w:tcW w:w="437" w:type="pct"/>
            <w:tcBorders>
              <w:top w:val="single" w:sz="12" w:space="0" w:color="000000"/>
              <w:left w:val="nil"/>
              <w:bottom w:val="dotted" w:sz="4" w:space="0" w:color="auto"/>
              <w:right w:val="nil"/>
            </w:tcBorders>
            <w:shd w:val="clear" w:color="auto" w:fill="auto"/>
            <w:vAlign w:val="center"/>
            <w:hideMark/>
          </w:tcPr>
          <w:p w:rsidR="00BA3138" w:rsidRPr="006C6E50" w:rsidRDefault="00BA3138" w:rsidP="00025338">
            <w:pPr>
              <w:widowControl/>
              <w:jc w:val="center"/>
              <w:rPr>
                <w:rFonts w:ascii="宋体" w:hAnsi="宋体" w:cs="宋体"/>
                <w:sz w:val="18"/>
                <w:szCs w:val="18"/>
              </w:rPr>
            </w:pPr>
            <w:r w:rsidRPr="006C6E50">
              <w:rPr>
                <w:rFonts w:ascii="宋体" w:hAnsi="宋体" w:cs="宋体" w:hint="eastAsia"/>
                <w:sz w:val="18"/>
                <w:szCs w:val="18"/>
              </w:rPr>
              <w:t>出质率</w:t>
            </w:r>
          </w:p>
        </w:tc>
      </w:tr>
      <w:tr w:rsidR="00BA3138" w:rsidRPr="006C6E50" w:rsidTr="00025338">
        <w:trPr>
          <w:trHeight w:val="397"/>
        </w:trPr>
        <w:tc>
          <w:tcPr>
            <w:tcW w:w="363" w:type="pct"/>
            <w:tcBorders>
              <w:top w:val="nil"/>
              <w:left w:val="nil"/>
              <w:bottom w:val="dotted" w:sz="4" w:space="0" w:color="auto"/>
              <w:right w:val="dotted" w:sz="4" w:space="0" w:color="auto"/>
            </w:tcBorders>
            <w:shd w:val="clear" w:color="auto" w:fill="auto"/>
            <w:noWrap/>
            <w:vAlign w:val="center"/>
            <w:hideMark/>
          </w:tcPr>
          <w:p w:rsidR="00BA3138" w:rsidRPr="006C6E50" w:rsidRDefault="00BA3138" w:rsidP="00025338">
            <w:pPr>
              <w:widowControl/>
              <w:jc w:val="center"/>
              <w:rPr>
                <w:rFonts w:eastAsia="等线"/>
                <w:sz w:val="18"/>
                <w:szCs w:val="18"/>
              </w:rPr>
            </w:pPr>
            <w:r w:rsidRPr="006C6E50">
              <w:rPr>
                <w:rFonts w:eastAsia="等线"/>
                <w:sz w:val="18"/>
                <w:szCs w:val="18"/>
              </w:rPr>
              <w:t>1</w:t>
            </w:r>
          </w:p>
        </w:tc>
        <w:tc>
          <w:tcPr>
            <w:tcW w:w="1450" w:type="pct"/>
            <w:tcBorders>
              <w:top w:val="nil"/>
              <w:left w:val="nil"/>
              <w:bottom w:val="dotted" w:sz="4" w:space="0" w:color="auto"/>
              <w:right w:val="dotted" w:sz="4" w:space="0" w:color="auto"/>
            </w:tcBorders>
            <w:shd w:val="clear" w:color="auto" w:fill="auto"/>
            <w:vAlign w:val="center"/>
            <w:hideMark/>
          </w:tcPr>
          <w:p w:rsidR="00BA3138" w:rsidRPr="006C6E50" w:rsidRDefault="00BA3138" w:rsidP="00025338">
            <w:pPr>
              <w:widowControl/>
              <w:rPr>
                <w:rFonts w:ascii="宋体" w:hAnsi="宋体" w:cs="宋体"/>
                <w:sz w:val="18"/>
                <w:szCs w:val="18"/>
              </w:rPr>
            </w:pPr>
            <w:r w:rsidRPr="006C6E50">
              <w:rPr>
                <w:rFonts w:ascii="宋体" w:hAnsi="宋体" w:cs="宋体" w:hint="eastAsia"/>
                <w:sz w:val="18"/>
                <w:szCs w:val="18"/>
              </w:rPr>
              <w:t>浙江天海置业发展有限公司</w:t>
            </w:r>
          </w:p>
        </w:tc>
        <w:tc>
          <w:tcPr>
            <w:tcW w:w="703" w:type="pct"/>
            <w:tcBorders>
              <w:top w:val="nil"/>
              <w:left w:val="nil"/>
              <w:bottom w:val="dotted" w:sz="4" w:space="0" w:color="auto"/>
              <w:right w:val="dotted" w:sz="4" w:space="0" w:color="auto"/>
            </w:tcBorders>
            <w:shd w:val="clear" w:color="auto" w:fill="auto"/>
            <w:noWrap/>
            <w:vAlign w:val="center"/>
            <w:hideMark/>
          </w:tcPr>
          <w:p w:rsidR="00BA3138" w:rsidRPr="006C6E50" w:rsidRDefault="00BA3138" w:rsidP="00025338">
            <w:pPr>
              <w:widowControl/>
              <w:jc w:val="right"/>
              <w:rPr>
                <w:rFonts w:eastAsia="等线"/>
                <w:sz w:val="18"/>
                <w:szCs w:val="18"/>
              </w:rPr>
            </w:pPr>
            <w:r w:rsidRPr="006C6E50">
              <w:rPr>
                <w:rFonts w:hint="eastAsia"/>
                <w:sz w:val="18"/>
                <w:szCs w:val="18"/>
              </w:rPr>
              <w:t>18</w:t>
            </w:r>
            <w:r w:rsidRPr="006C6E50">
              <w:rPr>
                <w:sz w:val="18"/>
                <w:szCs w:val="18"/>
              </w:rPr>
              <w:t>,</w:t>
            </w:r>
            <w:r w:rsidRPr="006C6E50">
              <w:rPr>
                <w:rFonts w:hint="eastAsia"/>
                <w:sz w:val="18"/>
                <w:szCs w:val="18"/>
              </w:rPr>
              <w:t>647</w:t>
            </w:r>
            <w:r w:rsidRPr="006C6E50">
              <w:rPr>
                <w:sz w:val="18"/>
                <w:szCs w:val="18"/>
              </w:rPr>
              <w:t>,</w:t>
            </w:r>
            <w:r w:rsidRPr="006C6E50">
              <w:rPr>
                <w:rFonts w:hint="eastAsia"/>
                <w:sz w:val="18"/>
                <w:szCs w:val="18"/>
              </w:rPr>
              <w:t>029</w:t>
            </w:r>
            <w:r w:rsidRPr="006C6E50">
              <w:rPr>
                <w:sz w:val="18"/>
                <w:szCs w:val="18"/>
              </w:rPr>
              <w:t>.00</w:t>
            </w:r>
            <w:r w:rsidRPr="006C6E50">
              <w:rPr>
                <w:rFonts w:eastAsia="等线"/>
                <w:sz w:val="18"/>
                <w:szCs w:val="18"/>
              </w:rPr>
              <w:t xml:space="preserve">   </w:t>
            </w:r>
          </w:p>
        </w:tc>
        <w:tc>
          <w:tcPr>
            <w:tcW w:w="748" w:type="pct"/>
            <w:tcBorders>
              <w:top w:val="nil"/>
              <w:left w:val="nil"/>
              <w:bottom w:val="dotted" w:sz="4" w:space="0" w:color="auto"/>
              <w:right w:val="dotted" w:sz="4" w:space="0" w:color="auto"/>
            </w:tcBorders>
            <w:shd w:val="clear" w:color="auto" w:fill="auto"/>
            <w:noWrap/>
            <w:vAlign w:val="center"/>
            <w:hideMark/>
          </w:tcPr>
          <w:p w:rsidR="00BA3138" w:rsidRPr="006C6E50" w:rsidRDefault="00BA3138" w:rsidP="00025338">
            <w:pPr>
              <w:widowControl/>
              <w:jc w:val="right"/>
              <w:rPr>
                <w:sz w:val="18"/>
                <w:szCs w:val="18"/>
              </w:rPr>
            </w:pPr>
            <w:r w:rsidRPr="006C6E50">
              <w:rPr>
                <w:rFonts w:hint="eastAsia"/>
                <w:sz w:val="18"/>
                <w:szCs w:val="18"/>
              </w:rPr>
              <w:t>7,000,000.00</w:t>
            </w:r>
          </w:p>
        </w:tc>
        <w:tc>
          <w:tcPr>
            <w:tcW w:w="1298" w:type="pct"/>
            <w:tcBorders>
              <w:top w:val="nil"/>
              <w:left w:val="nil"/>
              <w:bottom w:val="dotted" w:sz="4" w:space="0" w:color="auto"/>
              <w:right w:val="dotted" w:sz="4" w:space="0" w:color="auto"/>
            </w:tcBorders>
            <w:shd w:val="clear" w:color="auto" w:fill="auto"/>
            <w:vAlign w:val="center"/>
            <w:hideMark/>
          </w:tcPr>
          <w:p w:rsidR="00BA3138" w:rsidRPr="006C6E50" w:rsidRDefault="00BA3138" w:rsidP="00025338">
            <w:pPr>
              <w:widowControl/>
              <w:rPr>
                <w:rFonts w:ascii="宋体" w:hAnsi="宋体" w:cs="宋体"/>
                <w:sz w:val="18"/>
                <w:szCs w:val="18"/>
              </w:rPr>
            </w:pPr>
            <w:r w:rsidRPr="006C6E50">
              <w:rPr>
                <w:rFonts w:ascii="宋体" w:hAnsi="宋体" w:cs="宋体" w:hint="eastAsia"/>
                <w:sz w:val="18"/>
                <w:szCs w:val="18"/>
              </w:rPr>
              <w:t>舟山市普陀区融资担保有限公司、舟山市东港小额贷款股份有限公司</w:t>
            </w:r>
          </w:p>
        </w:tc>
        <w:tc>
          <w:tcPr>
            <w:tcW w:w="437" w:type="pct"/>
            <w:tcBorders>
              <w:top w:val="nil"/>
              <w:left w:val="nil"/>
              <w:bottom w:val="dotted" w:sz="4" w:space="0" w:color="auto"/>
              <w:right w:val="nil"/>
            </w:tcBorders>
            <w:shd w:val="clear" w:color="auto" w:fill="auto"/>
            <w:noWrap/>
            <w:vAlign w:val="center"/>
            <w:hideMark/>
          </w:tcPr>
          <w:p w:rsidR="00BA3138" w:rsidRPr="006C6E50" w:rsidRDefault="00BA3138" w:rsidP="00025338">
            <w:pPr>
              <w:widowControl/>
              <w:jc w:val="right"/>
              <w:rPr>
                <w:rFonts w:eastAsia="等线"/>
                <w:sz w:val="18"/>
                <w:szCs w:val="18"/>
              </w:rPr>
            </w:pPr>
            <w:r w:rsidRPr="006C6E50">
              <w:rPr>
                <w:rFonts w:eastAsia="等线" w:hint="eastAsia"/>
                <w:sz w:val="18"/>
                <w:szCs w:val="18"/>
              </w:rPr>
              <w:t>37.54</w:t>
            </w:r>
          </w:p>
        </w:tc>
      </w:tr>
      <w:tr w:rsidR="00BA3138" w:rsidRPr="006C6E50" w:rsidTr="00025338">
        <w:trPr>
          <w:trHeight w:val="397"/>
        </w:trPr>
        <w:tc>
          <w:tcPr>
            <w:tcW w:w="363" w:type="pct"/>
            <w:tcBorders>
              <w:top w:val="nil"/>
              <w:left w:val="nil"/>
              <w:bottom w:val="dotted" w:sz="4" w:space="0" w:color="auto"/>
              <w:right w:val="dotted" w:sz="4" w:space="0" w:color="auto"/>
            </w:tcBorders>
            <w:shd w:val="clear" w:color="auto" w:fill="auto"/>
            <w:noWrap/>
            <w:vAlign w:val="center"/>
            <w:hideMark/>
          </w:tcPr>
          <w:p w:rsidR="00BA3138" w:rsidRPr="006C6E50" w:rsidRDefault="00BA3138" w:rsidP="00025338">
            <w:pPr>
              <w:widowControl/>
              <w:jc w:val="center"/>
              <w:rPr>
                <w:rFonts w:eastAsia="等线"/>
                <w:sz w:val="18"/>
                <w:szCs w:val="18"/>
              </w:rPr>
            </w:pPr>
            <w:r w:rsidRPr="006C6E50">
              <w:rPr>
                <w:rFonts w:eastAsia="等线"/>
                <w:sz w:val="18"/>
                <w:szCs w:val="18"/>
              </w:rPr>
              <w:t>2</w:t>
            </w:r>
          </w:p>
        </w:tc>
        <w:tc>
          <w:tcPr>
            <w:tcW w:w="1450" w:type="pct"/>
            <w:tcBorders>
              <w:top w:val="nil"/>
              <w:left w:val="nil"/>
              <w:bottom w:val="dotted" w:sz="4" w:space="0" w:color="auto"/>
              <w:right w:val="dotted" w:sz="4" w:space="0" w:color="auto"/>
            </w:tcBorders>
            <w:shd w:val="clear" w:color="auto" w:fill="auto"/>
            <w:vAlign w:val="center"/>
            <w:hideMark/>
          </w:tcPr>
          <w:p w:rsidR="00BA3138" w:rsidRPr="006C6E50" w:rsidRDefault="00BA3138" w:rsidP="00025338">
            <w:pPr>
              <w:widowControl/>
              <w:rPr>
                <w:rFonts w:ascii="宋体" w:hAnsi="宋体" w:cs="宋体"/>
                <w:sz w:val="18"/>
                <w:szCs w:val="18"/>
              </w:rPr>
            </w:pPr>
            <w:r w:rsidRPr="006C6E50">
              <w:rPr>
                <w:rFonts w:ascii="宋体" w:hAnsi="宋体" w:cs="宋体" w:hint="eastAsia"/>
                <w:sz w:val="18"/>
                <w:szCs w:val="18"/>
              </w:rPr>
              <w:t>舟山市普陀海汇水产有限公司</w:t>
            </w:r>
          </w:p>
        </w:tc>
        <w:tc>
          <w:tcPr>
            <w:tcW w:w="703" w:type="pct"/>
            <w:tcBorders>
              <w:top w:val="nil"/>
              <w:left w:val="nil"/>
              <w:bottom w:val="dotted" w:sz="4" w:space="0" w:color="auto"/>
              <w:right w:val="dotted" w:sz="4" w:space="0" w:color="auto"/>
            </w:tcBorders>
            <w:shd w:val="clear" w:color="auto" w:fill="auto"/>
            <w:noWrap/>
            <w:vAlign w:val="center"/>
            <w:hideMark/>
          </w:tcPr>
          <w:p w:rsidR="00BA3138" w:rsidRPr="006C6E50" w:rsidRDefault="00BA3138" w:rsidP="00025338">
            <w:pPr>
              <w:widowControl/>
              <w:jc w:val="right"/>
              <w:rPr>
                <w:rFonts w:eastAsia="等线"/>
                <w:sz w:val="18"/>
                <w:szCs w:val="18"/>
              </w:rPr>
            </w:pPr>
            <w:r w:rsidRPr="006C6E50">
              <w:rPr>
                <w:sz w:val="18"/>
                <w:szCs w:val="18"/>
              </w:rPr>
              <w:t>1</w:t>
            </w:r>
            <w:r w:rsidRPr="006C6E50">
              <w:rPr>
                <w:rFonts w:hint="eastAsia"/>
                <w:sz w:val="18"/>
                <w:szCs w:val="18"/>
              </w:rPr>
              <w:t>9</w:t>
            </w:r>
            <w:r w:rsidRPr="006C6E50">
              <w:rPr>
                <w:sz w:val="18"/>
                <w:szCs w:val="18"/>
              </w:rPr>
              <w:t>,</w:t>
            </w:r>
            <w:r w:rsidRPr="006C6E50">
              <w:rPr>
                <w:rFonts w:hint="eastAsia"/>
                <w:sz w:val="18"/>
                <w:szCs w:val="18"/>
              </w:rPr>
              <w:t>433</w:t>
            </w:r>
            <w:r w:rsidRPr="006C6E50">
              <w:rPr>
                <w:sz w:val="18"/>
                <w:szCs w:val="18"/>
              </w:rPr>
              <w:t>,</w:t>
            </w:r>
            <w:r w:rsidRPr="006C6E50">
              <w:rPr>
                <w:rFonts w:hint="eastAsia"/>
                <w:sz w:val="18"/>
                <w:szCs w:val="18"/>
              </w:rPr>
              <w:t>916</w:t>
            </w:r>
            <w:r w:rsidRPr="006C6E50">
              <w:rPr>
                <w:sz w:val="18"/>
                <w:szCs w:val="18"/>
              </w:rPr>
              <w:t>.00</w:t>
            </w:r>
            <w:r w:rsidRPr="006C6E50">
              <w:rPr>
                <w:rFonts w:eastAsia="等线"/>
                <w:sz w:val="18"/>
                <w:szCs w:val="18"/>
              </w:rPr>
              <w:t xml:space="preserve">       </w:t>
            </w:r>
          </w:p>
        </w:tc>
        <w:tc>
          <w:tcPr>
            <w:tcW w:w="748" w:type="pct"/>
            <w:tcBorders>
              <w:top w:val="nil"/>
              <w:left w:val="nil"/>
              <w:bottom w:val="dotted" w:sz="4" w:space="0" w:color="auto"/>
              <w:right w:val="dotted" w:sz="4" w:space="0" w:color="auto"/>
            </w:tcBorders>
            <w:shd w:val="clear" w:color="auto" w:fill="auto"/>
            <w:noWrap/>
            <w:vAlign w:val="center"/>
            <w:hideMark/>
          </w:tcPr>
          <w:p w:rsidR="00BA3138" w:rsidRPr="006C6E50" w:rsidRDefault="00BA3138" w:rsidP="00025338">
            <w:pPr>
              <w:widowControl/>
              <w:jc w:val="right"/>
              <w:rPr>
                <w:rFonts w:eastAsia="等线"/>
                <w:sz w:val="18"/>
                <w:szCs w:val="18"/>
              </w:rPr>
            </w:pPr>
            <w:r w:rsidRPr="006C6E50">
              <w:rPr>
                <w:rFonts w:eastAsia="等线" w:hint="eastAsia"/>
                <w:sz w:val="18"/>
                <w:szCs w:val="18"/>
              </w:rPr>
              <w:t>9,400,000.00</w:t>
            </w:r>
          </w:p>
        </w:tc>
        <w:tc>
          <w:tcPr>
            <w:tcW w:w="1298" w:type="pct"/>
            <w:tcBorders>
              <w:top w:val="nil"/>
              <w:left w:val="nil"/>
              <w:bottom w:val="dotted" w:sz="4" w:space="0" w:color="auto"/>
              <w:right w:val="dotted" w:sz="4" w:space="0" w:color="auto"/>
            </w:tcBorders>
            <w:shd w:val="clear" w:color="auto" w:fill="auto"/>
            <w:vAlign w:val="center"/>
            <w:hideMark/>
          </w:tcPr>
          <w:p w:rsidR="00BA3138" w:rsidRPr="006C6E50" w:rsidRDefault="00BA3138" w:rsidP="00025338">
            <w:pPr>
              <w:widowControl/>
              <w:rPr>
                <w:rFonts w:ascii="宋体" w:hAnsi="宋体" w:cs="宋体"/>
                <w:sz w:val="18"/>
                <w:szCs w:val="18"/>
              </w:rPr>
            </w:pPr>
            <w:r w:rsidRPr="006C6E50">
              <w:rPr>
                <w:rFonts w:ascii="宋体" w:hAnsi="宋体" w:cs="宋体" w:hint="eastAsia"/>
                <w:sz w:val="18"/>
                <w:szCs w:val="18"/>
              </w:rPr>
              <w:t>温州银行股份有限公司</w:t>
            </w:r>
          </w:p>
        </w:tc>
        <w:tc>
          <w:tcPr>
            <w:tcW w:w="437" w:type="pct"/>
            <w:tcBorders>
              <w:top w:val="nil"/>
              <w:left w:val="nil"/>
              <w:bottom w:val="dotted" w:sz="4" w:space="0" w:color="auto"/>
              <w:right w:val="nil"/>
            </w:tcBorders>
            <w:shd w:val="clear" w:color="auto" w:fill="auto"/>
            <w:noWrap/>
            <w:vAlign w:val="center"/>
            <w:hideMark/>
          </w:tcPr>
          <w:p w:rsidR="00BA3138" w:rsidRPr="006C6E50" w:rsidRDefault="00BA3138" w:rsidP="00025338">
            <w:pPr>
              <w:widowControl/>
              <w:jc w:val="right"/>
              <w:rPr>
                <w:rFonts w:eastAsia="等线"/>
                <w:sz w:val="18"/>
                <w:szCs w:val="18"/>
              </w:rPr>
            </w:pPr>
            <w:r w:rsidRPr="006C6E50">
              <w:rPr>
                <w:rFonts w:eastAsia="等线" w:hint="eastAsia"/>
                <w:sz w:val="18"/>
                <w:szCs w:val="18"/>
              </w:rPr>
              <w:t>48.37</w:t>
            </w:r>
          </w:p>
        </w:tc>
      </w:tr>
      <w:tr w:rsidR="00BA3138" w:rsidRPr="006C6E50" w:rsidTr="00025338">
        <w:trPr>
          <w:trHeight w:val="397"/>
        </w:trPr>
        <w:tc>
          <w:tcPr>
            <w:tcW w:w="1813" w:type="pct"/>
            <w:gridSpan w:val="2"/>
            <w:tcBorders>
              <w:top w:val="dotted" w:sz="4" w:space="0" w:color="auto"/>
              <w:left w:val="nil"/>
              <w:bottom w:val="single" w:sz="12" w:space="0" w:color="000000"/>
              <w:right w:val="dotted" w:sz="4" w:space="0" w:color="000000"/>
            </w:tcBorders>
            <w:shd w:val="clear" w:color="auto" w:fill="auto"/>
            <w:noWrap/>
            <w:vAlign w:val="center"/>
            <w:hideMark/>
          </w:tcPr>
          <w:p w:rsidR="00BA3138" w:rsidRPr="006C6E50" w:rsidRDefault="00BA3138" w:rsidP="00025338">
            <w:pPr>
              <w:widowControl/>
              <w:jc w:val="center"/>
              <w:rPr>
                <w:rFonts w:ascii="宋体" w:hAnsi="宋体" w:cs="宋体"/>
                <w:b/>
                <w:bCs/>
                <w:sz w:val="18"/>
                <w:szCs w:val="18"/>
              </w:rPr>
            </w:pPr>
            <w:r w:rsidRPr="006C6E50">
              <w:rPr>
                <w:rFonts w:ascii="宋体" w:hAnsi="宋体" w:cs="宋体" w:hint="eastAsia"/>
                <w:b/>
                <w:bCs/>
                <w:sz w:val="18"/>
                <w:szCs w:val="18"/>
              </w:rPr>
              <w:t>合 计</w:t>
            </w:r>
          </w:p>
        </w:tc>
        <w:tc>
          <w:tcPr>
            <w:tcW w:w="703" w:type="pct"/>
            <w:tcBorders>
              <w:top w:val="nil"/>
              <w:left w:val="nil"/>
              <w:bottom w:val="single" w:sz="12" w:space="0" w:color="000000"/>
              <w:right w:val="dotted" w:sz="4" w:space="0" w:color="auto"/>
            </w:tcBorders>
            <w:shd w:val="clear" w:color="auto" w:fill="auto"/>
            <w:noWrap/>
            <w:vAlign w:val="center"/>
            <w:hideMark/>
          </w:tcPr>
          <w:p w:rsidR="00BA3138" w:rsidRPr="006C6E50" w:rsidRDefault="00BA3138" w:rsidP="00025338">
            <w:pPr>
              <w:widowControl/>
              <w:jc w:val="right"/>
              <w:rPr>
                <w:rFonts w:eastAsia="等线"/>
                <w:b/>
                <w:bCs/>
                <w:sz w:val="18"/>
                <w:szCs w:val="18"/>
              </w:rPr>
            </w:pPr>
            <w:r w:rsidRPr="006C6E50">
              <w:rPr>
                <w:rFonts w:eastAsia="等线" w:hint="eastAsia"/>
                <w:b/>
                <w:bCs/>
                <w:sz w:val="18"/>
                <w:szCs w:val="18"/>
              </w:rPr>
              <w:t>38</w:t>
            </w:r>
            <w:r w:rsidRPr="006C6E50">
              <w:rPr>
                <w:rFonts w:eastAsia="等线"/>
                <w:b/>
                <w:bCs/>
                <w:sz w:val="18"/>
                <w:szCs w:val="18"/>
              </w:rPr>
              <w:t>,</w:t>
            </w:r>
            <w:r w:rsidRPr="006C6E50">
              <w:rPr>
                <w:rFonts w:eastAsia="等线" w:hint="eastAsia"/>
                <w:b/>
                <w:bCs/>
                <w:sz w:val="18"/>
                <w:szCs w:val="18"/>
              </w:rPr>
              <w:t>080,945.00</w:t>
            </w:r>
          </w:p>
        </w:tc>
        <w:tc>
          <w:tcPr>
            <w:tcW w:w="748" w:type="pct"/>
            <w:tcBorders>
              <w:top w:val="nil"/>
              <w:left w:val="nil"/>
              <w:bottom w:val="single" w:sz="12" w:space="0" w:color="000000"/>
              <w:right w:val="dotted" w:sz="4" w:space="0" w:color="auto"/>
            </w:tcBorders>
            <w:shd w:val="clear" w:color="auto" w:fill="auto"/>
            <w:noWrap/>
            <w:vAlign w:val="center"/>
            <w:hideMark/>
          </w:tcPr>
          <w:p w:rsidR="00BA3138" w:rsidRPr="006C6E50" w:rsidRDefault="00BA3138" w:rsidP="00025338">
            <w:pPr>
              <w:widowControl/>
              <w:jc w:val="right"/>
              <w:rPr>
                <w:rFonts w:eastAsia="等线"/>
                <w:b/>
                <w:bCs/>
                <w:sz w:val="18"/>
                <w:szCs w:val="18"/>
              </w:rPr>
            </w:pPr>
            <w:r w:rsidRPr="006C6E50">
              <w:rPr>
                <w:rFonts w:eastAsia="等线" w:hint="eastAsia"/>
                <w:b/>
                <w:bCs/>
                <w:sz w:val="18"/>
                <w:szCs w:val="18"/>
              </w:rPr>
              <w:t>16,400,000</w:t>
            </w:r>
            <w:r w:rsidRPr="006C6E50">
              <w:rPr>
                <w:rFonts w:eastAsia="等线"/>
                <w:b/>
                <w:bCs/>
                <w:sz w:val="18"/>
                <w:szCs w:val="18"/>
              </w:rPr>
              <w:t>.</w:t>
            </w:r>
            <w:r w:rsidRPr="006C6E50">
              <w:rPr>
                <w:rFonts w:eastAsia="等线" w:hint="eastAsia"/>
                <w:b/>
                <w:bCs/>
                <w:sz w:val="18"/>
                <w:szCs w:val="18"/>
              </w:rPr>
              <w:t>00</w:t>
            </w:r>
          </w:p>
        </w:tc>
        <w:tc>
          <w:tcPr>
            <w:tcW w:w="1298" w:type="pct"/>
            <w:tcBorders>
              <w:top w:val="nil"/>
              <w:left w:val="nil"/>
              <w:bottom w:val="single" w:sz="12" w:space="0" w:color="000000"/>
              <w:right w:val="dotted" w:sz="4" w:space="0" w:color="auto"/>
            </w:tcBorders>
            <w:shd w:val="clear" w:color="auto" w:fill="auto"/>
            <w:noWrap/>
            <w:vAlign w:val="center"/>
            <w:hideMark/>
          </w:tcPr>
          <w:p w:rsidR="00BA3138" w:rsidRPr="006C6E50" w:rsidRDefault="00BA3138" w:rsidP="00025338">
            <w:pPr>
              <w:widowControl/>
              <w:jc w:val="center"/>
              <w:rPr>
                <w:rFonts w:ascii="宋体" w:hAnsi="宋体" w:cs="宋体"/>
                <w:b/>
                <w:bCs/>
                <w:sz w:val="18"/>
                <w:szCs w:val="18"/>
              </w:rPr>
            </w:pPr>
            <w:r w:rsidRPr="006C6E50">
              <w:rPr>
                <w:rFonts w:ascii="宋体" w:hAnsi="宋体" w:cs="宋体" w:hint="eastAsia"/>
                <w:b/>
                <w:bCs/>
                <w:sz w:val="18"/>
                <w:szCs w:val="18"/>
              </w:rPr>
              <w:t>—</w:t>
            </w:r>
          </w:p>
        </w:tc>
        <w:tc>
          <w:tcPr>
            <w:tcW w:w="437" w:type="pct"/>
            <w:tcBorders>
              <w:top w:val="nil"/>
              <w:left w:val="nil"/>
              <w:bottom w:val="single" w:sz="12" w:space="0" w:color="000000"/>
              <w:right w:val="nil"/>
            </w:tcBorders>
            <w:shd w:val="clear" w:color="auto" w:fill="auto"/>
            <w:noWrap/>
            <w:vAlign w:val="center"/>
            <w:hideMark/>
          </w:tcPr>
          <w:p w:rsidR="00BA3138" w:rsidRPr="006C6E50" w:rsidRDefault="00BA3138" w:rsidP="00025338">
            <w:pPr>
              <w:widowControl/>
              <w:jc w:val="center"/>
              <w:rPr>
                <w:rFonts w:ascii="宋体" w:hAnsi="宋体" w:cs="宋体"/>
                <w:b/>
                <w:bCs/>
                <w:sz w:val="18"/>
                <w:szCs w:val="18"/>
              </w:rPr>
            </w:pPr>
            <w:r w:rsidRPr="006C6E50">
              <w:rPr>
                <w:rFonts w:ascii="宋体" w:hAnsi="宋体" w:cs="宋体" w:hint="eastAsia"/>
                <w:b/>
                <w:bCs/>
                <w:sz w:val="18"/>
                <w:szCs w:val="18"/>
              </w:rPr>
              <w:t>—</w:t>
            </w:r>
          </w:p>
        </w:tc>
      </w:tr>
    </w:tbl>
    <w:p w:rsidR="00BA3138" w:rsidRPr="006C6E50" w:rsidRDefault="00BA3138" w:rsidP="00BA3138">
      <w:pPr>
        <w:spacing w:line="1" w:lineRule="exact"/>
        <w:ind w:firstLine="420"/>
      </w:pPr>
    </w:p>
    <w:p w:rsidR="00BA3138" w:rsidRPr="000A3E79" w:rsidRDefault="00BA3138" w:rsidP="00BA3138">
      <w:pPr>
        <w:pStyle w:val="af6"/>
        <w:spacing w:line="500" w:lineRule="exact"/>
        <w:ind w:firstLine="600"/>
        <w:rPr>
          <w:rFonts w:ascii="仿宋" w:eastAsia="仿宋" w:hAnsi="仿宋"/>
          <w:sz w:val="30"/>
          <w:szCs w:val="30"/>
        </w:rPr>
      </w:pPr>
      <w:r w:rsidRPr="000A3E79">
        <w:rPr>
          <w:rFonts w:ascii="仿宋" w:eastAsia="仿宋" w:hAnsi="仿宋" w:hint="eastAsia"/>
          <w:sz w:val="30"/>
          <w:szCs w:val="30"/>
        </w:rPr>
        <w:t>（2）股东所持本行股份冻结情况：截至2023年12月31日，本行前十大法人股东和前十户自然人股东所持股权无存在冻结情况。</w:t>
      </w:r>
    </w:p>
    <w:p w:rsidR="00BA3138" w:rsidRPr="000A3E79" w:rsidRDefault="00BA3138" w:rsidP="00BA3138">
      <w:pPr>
        <w:pStyle w:val="af6"/>
        <w:spacing w:line="500" w:lineRule="exact"/>
        <w:ind w:firstLine="600"/>
        <w:rPr>
          <w:rFonts w:ascii="仿宋" w:eastAsia="仿宋" w:hAnsi="仿宋"/>
          <w:sz w:val="30"/>
          <w:szCs w:val="30"/>
        </w:rPr>
      </w:pPr>
      <w:r w:rsidRPr="000A3E79">
        <w:rPr>
          <w:rFonts w:ascii="仿宋" w:eastAsia="仿宋" w:hAnsi="仿宋" w:hint="eastAsia"/>
          <w:sz w:val="30"/>
          <w:szCs w:val="30"/>
        </w:rPr>
        <w:t>（</w:t>
      </w:r>
      <w:r w:rsidRPr="000A3E79">
        <w:rPr>
          <w:rFonts w:ascii="仿宋" w:eastAsia="仿宋" w:hAnsi="仿宋"/>
          <w:sz w:val="30"/>
          <w:szCs w:val="30"/>
        </w:rPr>
        <w:t>3</w:t>
      </w:r>
      <w:r w:rsidRPr="000A3E79">
        <w:rPr>
          <w:rFonts w:ascii="仿宋" w:eastAsia="仿宋" w:hAnsi="仿宋" w:hint="eastAsia"/>
          <w:sz w:val="30"/>
          <w:szCs w:val="30"/>
        </w:rPr>
        <w:t>）本行于2020年6月30日与浙江农村商业联合银行股份有限公司（原浙江省农村信用社联合社）签订《股权托管服务协议》，委托其对本行全部股权提供股权托管理服务。</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(二)主要股东评估</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w:t>
      </w:r>
      <w:r w:rsidR="00CC7BFB">
        <w:rPr>
          <w:rFonts w:ascii="仿宋" w:eastAsia="仿宋" w:hAnsi="仿宋" w:hint="eastAsia"/>
          <w:sz w:val="30"/>
          <w:szCs w:val="30"/>
        </w:rPr>
        <w:t>.</w:t>
      </w:r>
      <w:r w:rsidRPr="000A3E79">
        <w:rPr>
          <w:rFonts w:ascii="仿宋" w:eastAsia="仿宋" w:hAnsi="仿宋" w:hint="eastAsia"/>
          <w:sz w:val="30"/>
          <w:szCs w:val="30"/>
        </w:rPr>
        <w:t>本行主要股东界定。本行2023年度主要股东界定以下三类：一是持有本行5.00%以上股份的法人股东，分别为舟山市龙山船厂有限公司（持股5.99%）、舟山市国有资产投资有限公司（5.01%）、舟山金增农贸发展有限公司（5.01%）3家法人企业；二是本行外部董事、外部监事股东所控制或重大影响的在本行有股份的企业，分别为浙江天海置业发展有限公司、舟山市正源标准件有限公司、</w:t>
      </w:r>
      <w:r w:rsidRPr="000A3E79">
        <w:rPr>
          <w:rFonts w:ascii="仿宋" w:eastAsia="仿宋" w:hAnsi="仿宋"/>
          <w:sz w:val="30"/>
          <w:szCs w:val="30"/>
        </w:rPr>
        <w:t>舟山市普陀海汇</w:t>
      </w:r>
      <w:r w:rsidRPr="000A3E79">
        <w:rPr>
          <w:rFonts w:ascii="仿宋" w:eastAsia="仿宋" w:hAnsi="仿宋"/>
          <w:sz w:val="30"/>
          <w:szCs w:val="30"/>
        </w:rPr>
        <w:lastRenderedPageBreak/>
        <w:t>水产有限公司</w:t>
      </w:r>
      <w:r w:rsidRPr="000A3E79">
        <w:rPr>
          <w:rFonts w:ascii="仿宋" w:eastAsia="仿宋" w:hAnsi="仿宋" w:hint="eastAsia"/>
          <w:sz w:val="30"/>
          <w:szCs w:val="30"/>
        </w:rPr>
        <w:t>、</w:t>
      </w:r>
      <w:r w:rsidRPr="000A3E79">
        <w:rPr>
          <w:rFonts w:ascii="仿宋" w:eastAsia="仿宋" w:hAnsi="仿宋"/>
          <w:sz w:val="30"/>
          <w:szCs w:val="30"/>
        </w:rPr>
        <w:t>浙江鑫旺食品有限公司</w:t>
      </w:r>
      <w:r w:rsidRPr="000A3E79">
        <w:rPr>
          <w:rFonts w:ascii="仿宋" w:eastAsia="仿宋" w:hAnsi="仿宋" w:hint="eastAsia"/>
          <w:sz w:val="30"/>
          <w:szCs w:val="30"/>
        </w:rPr>
        <w:t>；三是本行有股权的董事、监事和高级管理层，包括缪军、谢建成、陈晓、林仲岳、胡建杰、严安秧、郑文波、叶海静、傅爱光、翁晓云、刘坚军等个人。</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w:t>
      </w:r>
      <w:r w:rsidR="00CC7BFB">
        <w:rPr>
          <w:rFonts w:ascii="仿宋" w:eastAsia="仿宋" w:hAnsi="仿宋" w:hint="eastAsia"/>
          <w:sz w:val="30"/>
          <w:szCs w:val="30"/>
        </w:rPr>
        <w:t>.</w:t>
      </w:r>
      <w:r w:rsidRPr="000A3E79">
        <w:rPr>
          <w:rFonts w:ascii="仿宋" w:eastAsia="仿宋" w:hAnsi="仿宋" w:hint="eastAsia"/>
          <w:sz w:val="30"/>
          <w:szCs w:val="30"/>
        </w:rPr>
        <w:t>持股5%以上主要股东资质评估</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（1）舟山市龙山船厂有限公司，至2023年末，所持本行股权3088.34万股，持股比例5.99%。</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企业经营及资质状况。截至年末，公司资产总额117342万元，其中长期股权投资7062万元；负债总额27592万元；所有者权益为89750万元，其中实收资本2880万元，资本公积3476万元，盈余公积650万元，未分配利润82744万元。2023年实现主营业务收入103516万元，净利润8892万元。权益性投资占企业净资产的比例为7.87%，净资产占全部资产的比例为76.48%。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结构，控股股东、实际控制人、关联方、一致行动人、最终受益人及其变动情况。2023年末，公司注册资金11880万元，法定代表人吴建军。关联方和一致行动人包括舟山市普陀区汇龙小额贷款有限公司、舟山市龙船环保科技有限公司以及吴建军、郑红辉、吴亦颖、周松飞、陆世芳、陆彦廷、李建国、林建萍、顾苗龙、章志英、乐乾坤等。上述关联方和一致行动人中在本行持股的有吴建军持股8.98万股，持股比例0.02%，周松飞持股6.04万股，持股比例0.01%，顾苗龙持股58.99万股，持股比例0.11%，郑红辉持股14.87万股，持股比例0.03%，公司与关联方、一致行动人持有本行的股权比例为6.16%。</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股权被采取诉讼保全措施或者被强制执行、被采取责令停业整顿等情况。该公司所持本行股权未有被诉讼保全或被强制执行情况，公司未有被责令停业等情况。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履行承诺事项说明。2023年1月份，舟山市龙山船厂有限公司增加本行股份并成为本行主要股东后，向本行出具了主要股东承诺书，并遵守法律法规、监管规定和本行章程，认真履行出资人义务，遵守本行关联交易、股权质押相关规定，不谋求优于其他股东的关联交易，</w:t>
      </w:r>
      <w:r w:rsidRPr="000A3E79">
        <w:rPr>
          <w:rFonts w:ascii="仿宋" w:eastAsia="仿宋" w:hAnsi="仿宋" w:hint="eastAsia"/>
          <w:sz w:val="30"/>
          <w:szCs w:val="30"/>
        </w:rPr>
        <w:lastRenderedPageBreak/>
        <w:t>及时、准确、完整报送经营状况、财务信息、股权结构等情况，充分披露相关信息，全力支持本行重大经营决策和重大事项决定。</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（2）舟山市国有资产投资有限公司，至2023年末，所持本行股权2583.64万股，持股比例5.01%。</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企业经营及资质状况。截至年末，公司资产总额525447万元，其中长期股权投资93424万元；负债总额181762万元；所有者权益为343685万元，其中实收资本55000万元，资本公积258394万元，盈余公积3498万元，未分配利润26793万元。2023年实现主营业务收入6319万元，净利润4871万元。权益性投资占企业净资产的比例为27.18%，净资产占全部资产的比例为65.41%。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结构，控股股东、实际控制人、关联方、一致行动人、最终受益人及其变动情况。2023年末，公司注册资金55000万元，法定代表人董慧跃，公司控股股东为舟山市财金投资控股有限公司，持股比例100%。实际控制人、最终收益人均为舟山市财政局。公司关联方包括舟山市财金投资控股有限公司（母公司）、</w:t>
      </w:r>
      <w:r w:rsidRPr="000A3E79">
        <w:rPr>
          <w:rFonts w:ascii="仿宋" w:eastAsia="仿宋" w:hAnsi="仿宋"/>
          <w:sz w:val="30"/>
          <w:szCs w:val="30"/>
        </w:rPr>
        <w:t>北京圣华普贸易有限公司</w:t>
      </w:r>
      <w:r w:rsidRPr="000A3E79">
        <w:rPr>
          <w:rFonts w:ascii="仿宋" w:eastAsia="仿宋" w:hAnsi="仿宋" w:hint="eastAsia"/>
          <w:sz w:val="30"/>
          <w:szCs w:val="30"/>
        </w:rPr>
        <w:t>（子公司）、</w:t>
      </w:r>
      <w:r w:rsidRPr="000A3E79">
        <w:rPr>
          <w:rFonts w:ascii="仿宋" w:eastAsia="仿宋" w:hAnsi="仿宋"/>
          <w:sz w:val="30"/>
          <w:szCs w:val="30"/>
        </w:rPr>
        <w:t>舟山市定海区广丰小额贷款股份有限公司</w:t>
      </w:r>
      <w:r w:rsidRPr="000A3E79">
        <w:rPr>
          <w:rFonts w:ascii="仿宋" w:eastAsia="仿宋" w:hAnsi="仿宋" w:hint="eastAsia"/>
          <w:sz w:val="30"/>
          <w:szCs w:val="30"/>
        </w:rPr>
        <w:t>、</w:t>
      </w:r>
      <w:r w:rsidRPr="000A3E79">
        <w:rPr>
          <w:rFonts w:ascii="仿宋" w:eastAsia="仿宋" w:hAnsi="仿宋"/>
          <w:sz w:val="30"/>
          <w:szCs w:val="30"/>
        </w:rPr>
        <w:t>舟山航空投资发展有限公司</w:t>
      </w:r>
      <w:r w:rsidRPr="000A3E79">
        <w:rPr>
          <w:rFonts w:ascii="仿宋" w:eastAsia="仿宋" w:hAnsi="仿宋" w:hint="eastAsia"/>
          <w:sz w:val="30"/>
          <w:szCs w:val="30"/>
        </w:rPr>
        <w:t>、</w:t>
      </w:r>
      <w:r w:rsidRPr="000A3E79">
        <w:rPr>
          <w:rFonts w:ascii="仿宋" w:eastAsia="仿宋" w:hAnsi="仿宋"/>
          <w:sz w:val="30"/>
          <w:szCs w:val="30"/>
        </w:rPr>
        <w:t>浙江海洋经济创业投资有限公司</w:t>
      </w:r>
      <w:r w:rsidRPr="000A3E79">
        <w:rPr>
          <w:rFonts w:ascii="仿宋" w:eastAsia="仿宋" w:hAnsi="仿宋" w:hint="eastAsia"/>
          <w:sz w:val="30"/>
          <w:szCs w:val="30"/>
        </w:rPr>
        <w:t>、</w:t>
      </w:r>
      <w:r w:rsidRPr="000A3E79">
        <w:rPr>
          <w:rFonts w:ascii="仿宋" w:eastAsia="仿宋" w:hAnsi="仿宋"/>
          <w:sz w:val="30"/>
          <w:szCs w:val="30"/>
        </w:rPr>
        <w:t>浙江舟山群岛新区财金投资基金有限公司</w:t>
      </w:r>
      <w:r w:rsidRPr="000A3E79">
        <w:rPr>
          <w:rFonts w:ascii="仿宋" w:eastAsia="仿宋" w:hAnsi="仿宋" w:hint="eastAsia"/>
          <w:sz w:val="30"/>
          <w:szCs w:val="30"/>
        </w:rPr>
        <w:t>、</w:t>
      </w:r>
      <w:r w:rsidRPr="000A3E79">
        <w:rPr>
          <w:rFonts w:ascii="仿宋" w:eastAsia="仿宋" w:hAnsi="仿宋"/>
          <w:sz w:val="30"/>
          <w:szCs w:val="30"/>
        </w:rPr>
        <w:t>浙江舟山旅游集团有限公司</w:t>
      </w:r>
      <w:r w:rsidRPr="000A3E79">
        <w:rPr>
          <w:rFonts w:ascii="仿宋" w:eastAsia="仿宋" w:hAnsi="仿宋" w:hint="eastAsia"/>
          <w:sz w:val="30"/>
          <w:szCs w:val="30"/>
        </w:rPr>
        <w:t>、</w:t>
      </w:r>
      <w:r w:rsidRPr="000A3E79">
        <w:rPr>
          <w:rFonts w:ascii="仿宋" w:eastAsia="仿宋" w:hAnsi="仿宋"/>
          <w:sz w:val="30"/>
          <w:szCs w:val="30"/>
        </w:rPr>
        <w:t>华宝都鼎（上海）融资租赁有限公司</w:t>
      </w:r>
      <w:r w:rsidRPr="000A3E79">
        <w:rPr>
          <w:rFonts w:ascii="仿宋" w:eastAsia="仿宋" w:hAnsi="仿宋" w:hint="eastAsia"/>
          <w:sz w:val="30"/>
          <w:szCs w:val="30"/>
        </w:rPr>
        <w:t>、</w:t>
      </w:r>
      <w:r w:rsidRPr="000A3E79">
        <w:rPr>
          <w:rFonts w:ascii="仿宋" w:eastAsia="仿宋" w:hAnsi="仿宋"/>
          <w:sz w:val="30"/>
          <w:szCs w:val="30"/>
        </w:rPr>
        <w:t>华宝信托有限责任公司</w:t>
      </w:r>
      <w:r w:rsidRPr="000A3E79">
        <w:rPr>
          <w:rFonts w:ascii="仿宋" w:eastAsia="仿宋" w:hAnsi="仿宋" w:hint="eastAsia"/>
          <w:sz w:val="30"/>
          <w:szCs w:val="30"/>
        </w:rPr>
        <w:t>、</w:t>
      </w:r>
      <w:r w:rsidRPr="000A3E79">
        <w:rPr>
          <w:rFonts w:ascii="仿宋" w:eastAsia="仿宋" w:hAnsi="仿宋"/>
          <w:sz w:val="30"/>
          <w:szCs w:val="30"/>
        </w:rPr>
        <w:t>浙江舟山大宗商品交易所有限公司</w:t>
      </w:r>
      <w:r w:rsidRPr="000A3E79">
        <w:rPr>
          <w:rFonts w:ascii="仿宋" w:eastAsia="仿宋" w:hAnsi="仿宋" w:hint="eastAsia"/>
          <w:sz w:val="30"/>
          <w:szCs w:val="30"/>
        </w:rPr>
        <w:t>、</w:t>
      </w:r>
      <w:r w:rsidRPr="000A3E79">
        <w:rPr>
          <w:rFonts w:ascii="仿宋" w:eastAsia="仿宋" w:hAnsi="仿宋"/>
          <w:sz w:val="30"/>
          <w:szCs w:val="30"/>
        </w:rPr>
        <w:t>舟山欧源投资管理有限公司</w:t>
      </w:r>
      <w:r w:rsidRPr="000A3E79">
        <w:rPr>
          <w:rFonts w:ascii="仿宋" w:eastAsia="仿宋" w:hAnsi="仿宋" w:hint="eastAsia"/>
          <w:sz w:val="30"/>
          <w:szCs w:val="30"/>
        </w:rPr>
        <w:t>、</w:t>
      </w:r>
      <w:r w:rsidRPr="000A3E79">
        <w:rPr>
          <w:rFonts w:ascii="仿宋" w:eastAsia="仿宋" w:hAnsi="仿宋"/>
          <w:sz w:val="30"/>
          <w:szCs w:val="30"/>
        </w:rPr>
        <w:t>浙江盛达海洋股份有限公司</w:t>
      </w:r>
      <w:r w:rsidRPr="000A3E79">
        <w:rPr>
          <w:rFonts w:ascii="仿宋" w:eastAsia="仿宋" w:hAnsi="仿宋" w:hint="eastAsia"/>
          <w:sz w:val="30"/>
          <w:szCs w:val="30"/>
        </w:rPr>
        <w:t>、</w:t>
      </w:r>
      <w:r w:rsidRPr="000A3E79">
        <w:rPr>
          <w:rFonts w:ascii="仿宋" w:eastAsia="仿宋" w:hAnsi="仿宋"/>
          <w:sz w:val="30"/>
          <w:szCs w:val="30"/>
        </w:rPr>
        <w:t>舟山市嘉联拍卖有限公司</w:t>
      </w:r>
      <w:r w:rsidRPr="000A3E79">
        <w:rPr>
          <w:rFonts w:ascii="仿宋" w:eastAsia="仿宋" w:hAnsi="仿宋" w:hint="eastAsia"/>
          <w:sz w:val="30"/>
          <w:szCs w:val="30"/>
        </w:rPr>
        <w:t>、</w:t>
      </w:r>
      <w:r w:rsidRPr="000A3E79">
        <w:rPr>
          <w:rFonts w:ascii="仿宋" w:eastAsia="仿宋" w:hAnsi="仿宋"/>
          <w:sz w:val="30"/>
          <w:szCs w:val="30"/>
        </w:rPr>
        <w:t>舟山市财通海洋发展有限公司</w:t>
      </w:r>
      <w:r w:rsidRPr="000A3E79">
        <w:rPr>
          <w:rFonts w:ascii="仿宋" w:eastAsia="仿宋" w:hAnsi="仿宋" w:hint="eastAsia"/>
          <w:sz w:val="30"/>
          <w:szCs w:val="30"/>
        </w:rPr>
        <w:t>、</w:t>
      </w:r>
      <w:r w:rsidRPr="000A3E79">
        <w:rPr>
          <w:rFonts w:ascii="仿宋" w:eastAsia="仿宋" w:hAnsi="仿宋"/>
          <w:sz w:val="30"/>
          <w:szCs w:val="30"/>
        </w:rPr>
        <w:t>舟山市产权交易中心有限责任公司</w:t>
      </w:r>
      <w:r w:rsidRPr="000A3E79">
        <w:rPr>
          <w:rFonts w:ascii="仿宋" w:eastAsia="仿宋" w:hAnsi="仿宋" w:hint="eastAsia"/>
          <w:sz w:val="30"/>
          <w:szCs w:val="30"/>
        </w:rPr>
        <w:t>、</w:t>
      </w:r>
      <w:r w:rsidRPr="000A3E79">
        <w:rPr>
          <w:rFonts w:ascii="仿宋" w:eastAsia="仿宋" w:hAnsi="仿宋"/>
          <w:sz w:val="30"/>
          <w:szCs w:val="30"/>
        </w:rPr>
        <w:t>舟山群岛新区</w:t>
      </w:r>
      <w:r w:rsidRPr="000A3E79">
        <w:rPr>
          <w:rFonts w:ascii="仿宋" w:eastAsia="仿宋" w:hAnsi="仿宋" w:hint="eastAsia"/>
          <w:sz w:val="30"/>
          <w:szCs w:val="30"/>
        </w:rPr>
        <w:t>财金</w:t>
      </w:r>
      <w:r w:rsidRPr="000A3E79">
        <w:rPr>
          <w:rFonts w:ascii="仿宋" w:eastAsia="仿宋" w:hAnsi="仿宋"/>
          <w:sz w:val="30"/>
          <w:szCs w:val="30"/>
        </w:rPr>
        <w:t>投资</w:t>
      </w:r>
      <w:r w:rsidRPr="000A3E79">
        <w:rPr>
          <w:rFonts w:ascii="仿宋" w:eastAsia="仿宋" w:hAnsi="仿宋" w:hint="eastAsia"/>
          <w:sz w:val="30"/>
          <w:szCs w:val="30"/>
        </w:rPr>
        <w:t>基金</w:t>
      </w:r>
      <w:r w:rsidRPr="000A3E79">
        <w:rPr>
          <w:rFonts w:ascii="仿宋" w:eastAsia="仿宋" w:hAnsi="仿宋"/>
          <w:sz w:val="30"/>
          <w:szCs w:val="30"/>
        </w:rPr>
        <w:t>有限公司</w:t>
      </w:r>
      <w:r w:rsidRPr="000A3E79">
        <w:rPr>
          <w:rFonts w:ascii="仿宋" w:eastAsia="仿宋" w:hAnsi="仿宋" w:hint="eastAsia"/>
          <w:sz w:val="30"/>
          <w:szCs w:val="30"/>
        </w:rPr>
        <w:t>、舟山市农业发展有限公司、</w:t>
      </w:r>
      <w:r w:rsidRPr="000A3E79">
        <w:rPr>
          <w:rFonts w:ascii="仿宋" w:eastAsia="仿宋" w:hAnsi="仿宋"/>
          <w:sz w:val="30"/>
          <w:szCs w:val="30"/>
        </w:rPr>
        <w:t>浙江自贸区财金海洋私募基金管理有限公司</w:t>
      </w:r>
      <w:r w:rsidRPr="000A3E79">
        <w:rPr>
          <w:rFonts w:ascii="仿宋" w:eastAsia="仿宋" w:hAnsi="仿宋" w:hint="eastAsia"/>
          <w:sz w:val="30"/>
          <w:szCs w:val="30"/>
        </w:rPr>
        <w:t>、浙江金联产融服务有限公司、</w:t>
      </w:r>
      <w:r w:rsidRPr="000A3E79">
        <w:rPr>
          <w:rFonts w:ascii="仿宋" w:eastAsia="仿宋" w:hAnsi="仿宋"/>
          <w:sz w:val="30"/>
          <w:szCs w:val="30"/>
        </w:rPr>
        <w:t>舟山市普陀山庄有限公司</w:t>
      </w:r>
      <w:r w:rsidRPr="000A3E79">
        <w:rPr>
          <w:rFonts w:ascii="仿宋" w:eastAsia="仿宋" w:hAnsi="仿宋" w:hint="eastAsia"/>
          <w:sz w:val="30"/>
          <w:szCs w:val="30"/>
        </w:rPr>
        <w:t>等企业以及关联自然人李磊、董慧跃、陆耀舟、陈保华（本行董事）、刘科、任苏明、邵雷勇、刘煜征。</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股权被采取诉讼保全措施或者被强制执行、被采取责令停业整顿等情况。该公司所持本行股权未有被诉讼保全或被强制执行情况，公</w:t>
      </w:r>
      <w:r w:rsidRPr="000A3E79">
        <w:rPr>
          <w:rFonts w:ascii="仿宋" w:eastAsia="仿宋" w:hAnsi="仿宋" w:hint="eastAsia"/>
          <w:sz w:val="30"/>
          <w:szCs w:val="30"/>
        </w:rPr>
        <w:lastRenderedPageBreak/>
        <w:t>司未有被责令停业等情况。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履行承诺事项说明。2023年，舟山市国有资产投资有限公司遵守法律法规、监管规定和本行章程，认真履行出资人义务，遵守本行关联交易、股权质押相关规定，不谋求优于其他股东的关联交易，及时、准确、完整报送经营状况、财务信息、股权结构等情况，充分披露相关信息，全力支持本行重大经营决策和重大事项决定，赞同支持本行坚持向内向小的经营定位和构建党的领导、员工为本、法人治理相结合的治理体系。</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（3）舟山金增农贸发展有限公司，至2023年末，所持本行股权2583.64万股。</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企业经营状况。2023年末，公司资产总额11629万元，其中长期股权投资4880万元；负债总额828万元；所有者权益10800万元，其中实收资本500万元，资本公积9100万元，未分配利润1200万元。2023年实现主营业务收入122万元，净利润83万元。权益性投资占企业净资产的比例为45.18%，净资产占全部资产的比例为92.87%。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结构，控股股东、实际控制人、关联方、一致行动人、最终受益人及其变动情况。至2023年末，公司注册资金500万元，法定代表人叶海静，公司股东为叶海静持股100%。企业控股股东、实际控制人、最终收益人为叶海静。关联自然人杨文超、李烈波。叶海静个人持本行股权67.97万股，比例为0.13%。</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股权被采取诉讼保全措施或者被强制执行、被采取责令停业整顿等情况。该公司所持本行股权未有被诉讼保全或被强制执行情况，公司未有被责令停业等情况。</w:t>
      </w:r>
    </w:p>
    <w:p w:rsidR="00BA3138" w:rsidRPr="000A3E79" w:rsidRDefault="00BA3138" w:rsidP="00BA3138">
      <w:pPr>
        <w:autoSpaceDE w:val="0"/>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履行承诺事项说明。2023年，舟山金增农贸发展有限公司作为本行主要股东，遵守法律法规、监管规定和本行章程，认真履行出资人义务，遵守本行关联交易、股权质押相关规定，不谋求优于其他股东的关联交易，及时、准确、完整报送经营状况、财务信息、股权结构等情况，充分披露相关信息，全力支持本行加强“三农”和小微企业</w:t>
      </w:r>
      <w:r w:rsidRPr="000A3E79">
        <w:rPr>
          <w:rFonts w:ascii="仿宋" w:eastAsia="仿宋" w:hAnsi="仿宋" w:hint="eastAsia"/>
          <w:sz w:val="30"/>
          <w:szCs w:val="30"/>
        </w:rPr>
        <w:lastRenderedPageBreak/>
        <w:t>服务。</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3</w:t>
      </w:r>
      <w:r w:rsidR="00CC7BFB">
        <w:rPr>
          <w:rFonts w:ascii="仿宋" w:eastAsia="仿宋" w:hAnsi="仿宋" w:hint="eastAsia"/>
          <w:sz w:val="30"/>
          <w:szCs w:val="30"/>
        </w:rPr>
        <w:t>.</w:t>
      </w:r>
      <w:r w:rsidRPr="000A3E79">
        <w:rPr>
          <w:rFonts w:ascii="仿宋" w:eastAsia="仿宋" w:hAnsi="仿宋" w:hint="eastAsia"/>
          <w:sz w:val="30"/>
          <w:szCs w:val="30"/>
        </w:rPr>
        <w:t>董事、监事所控制或具有重大影响的企业资质评估</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（1）浙江天海置业发展有限公司，至2023年12月末，所持本行股权1864.70万股，持股比例3.62%。</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企业经营及资质状况。截至2023年未，公司资产总额46350万元，其中长期股权投资10828万元（本行、震洋房地产等）；负债总额24638万元；所有者权益21712万元，其中实收资本6500万元，资本公积313万元，盈余公积680万元，未分配利润14219万元。2023年实现经营收入31621万元，净利润1424万元。权益性投资占企业净资产的比例为49.87%，净资产占全部资产的比例为46.84%。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结构，控股股东、实际控制人、关联方、一致行动人、最终受益人及其变动情况。2023年末，公司注册资金6500万元，公司法定代表人马平洲为本行董事，股东为舟山市普陀宏业贸易发展有限公司，持股比例60%，马碧艺持股40%。实际控制人为马平洲，最终收益人为马平洲、马碧艺。关联方包括舟山市普陀宏业贸易发展有限公司、舟山东海之滨假日酒店有限公司、舟山震洋发展有限公</w:t>
      </w:r>
      <w:r w:rsidR="00FA525B">
        <w:rPr>
          <w:rFonts w:ascii="仿宋" w:eastAsia="仿宋" w:hAnsi="仿宋" w:hint="eastAsia"/>
          <w:sz w:val="30"/>
          <w:szCs w:val="30"/>
        </w:rPr>
        <w:t>司、舟山市天海体育运动俱乐部有限公司、浙江东海酒业有限公司、</w:t>
      </w:r>
      <w:r w:rsidRPr="000A3E79">
        <w:rPr>
          <w:rFonts w:ascii="仿宋" w:eastAsia="仿宋" w:hAnsi="仿宋" w:hint="eastAsia"/>
          <w:sz w:val="30"/>
          <w:szCs w:val="30"/>
        </w:rPr>
        <w:t>新疆海成房地产开发有限公司、舟山中朝酒业有限公司、舟山强仁进出口有限公司、舟山市普陀区东港小额贷款股份有限公司以及关联自然人张依萍、马驰洲、马行洲、马震洲等。</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股权被采取诉讼保全措施或者被强制执行、被采取责令停业整顿等情况。该公司所持本行股权未有被诉讼保全或被强制执行情况，公司未有被责令停业等情况。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履行承诺事项情况。2023年，浙江天海置业发展有限公司能遵守法律法规、监管规定和本行章程，履行出资人义务及时、准确、完整报送经营状况、财务信息、股权结构等情况，充分披露相关信息，全力支持本行加强“三农”和小微企业服务。</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（2）舟山市正源标准件有限公司。公司所持本行股权51.38万股，</w:t>
      </w:r>
      <w:r w:rsidRPr="000A3E79">
        <w:rPr>
          <w:rFonts w:ascii="仿宋" w:eastAsia="仿宋" w:hAnsi="仿宋" w:hint="eastAsia"/>
          <w:sz w:val="30"/>
          <w:szCs w:val="30"/>
        </w:rPr>
        <w:lastRenderedPageBreak/>
        <w:t>占比0.1%。</w:t>
      </w:r>
      <w:r w:rsidRPr="000A3E79">
        <w:rPr>
          <w:rFonts w:ascii="仿宋" w:eastAsia="仿宋" w:hAnsi="仿宋"/>
          <w:sz w:val="30"/>
          <w:szCs w:val="30"/>
        </w:rPr>
        <w:t xml:space="preserve">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企业经营及资质状况。截至2023年未，公司资产总额31559万元，其中长期股权投资60万元；负债总额17872万元；所有者权益13687万元，其中实收资本1650万元，资本公积1069万元，盈余公积55万元，未分配利润10913万元。2023年实现经营收入56878万元，净利润1304万元。权益性投资占企业净资产的比例为0.44%，净资产占全部资产的比例为43.37%。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结构，控股股东、实际控制人、关联方、一致行动人、最终受益人及其变动情况。2023年末，公司注册资金1650万元，实际控制人和最终收益人为林仲岳。公司法定代表人林仲岳个人持本行股权30982股。关联方包括</w:t>
      </w:r>
      <w:r w:rsidRPr="000A3E79">
        <w:rPr>
          <w:rFonts w:ascii="仿宋" w:eastAsia="仿宋" w:hAnsi="仿宋"/>
          <w:sz w:val="30"/>
          <w:szCs w:val="30"/>
        </w:rPr>
        <w:t>舟山市正山智能制造科技股份有限公司</w:t>
      </w:r>
      <w:r w:rsidRPr="000A3E79">
        <w:rPr>
          <w:rFonts w:ascii="仿宋" w:eastAsia="仿宋" w:hAnsi="仿宋" w:hint="eastAsia"/>
          <w:sz w:val="30"/>
          <w:szCs w:val="30"/>
        </w:rPr>
        <w:t>、</w:t>
      </w:r>
      <w:r w:rsidRPr="000A3E79">
        <w:rPr>
          <w:rFonts w:ascii="仿宋" w:eastAsia="仿宋" w:hAnsi="仿宋"/>
          <w:sz w:val="30"/>
          <w:szCs w:val="30"/>
        </w:rPr>
        <w:t>舟山市正茂机械制造有限公司</w:t>
      </w:r>
      <w:r w:rsidRPr="000A3E79">
        <w:rPr>
          <w:rFonts w:ascii="仿宋" w:eastAsia="仿宋" w:hAnsi="仿宋" w:hint="eastAsia"/>
          <w:sz w:val="30"/>
          <w:szCs w:val="30"/>
        </w:rPr>
        <w:t>、</w:t>
      </w:r>
      <w:r w:rsidRPr="000A3E79">
        <w:rPr>
          <w:rFonts w:ascii="仿宋" w:eastAsia="仿宋" w:hAnsi="仿宋"/>
          <w:sz w:val="30"/>
          <w:szCs w:val="30"/>
        </w:rPr>
        <w:t>舟山正久金属科技有限公司</w:t>
      </w:r>
      <w:r w:rsidRPr="000A3E79">
        <w:rPr>
          <w:rFonts w:ascii="仿宋" w:eastAsia="仿宋" w:hAnsi="仿宋" w:hint="eastAsia"/>
          <w:sz w:val="30"/>
          <w:szCs w:val="30"/>
        </w:rPr>
        <w:t>、</w:t>
      </w:r>
      <w:r w:rsidRPr="000A3E79">
        <w:rPr>
          <w:rFonts w:ascii="仿宋" w:eastAsia="仿宋" w:hAnsi="仿宋"/>
          <w:sz w:val="30"/>
          <w:szCs w:val="30"/>
        </w:rPr>
        <w:t>正源智造集团有限公司</w:t>
      </w:r>
      <w:r w:rsidRPr="000A3E79">
        <w:rPr>
          <w:rFonts w:ascii="仿宋" w:eastAsia="仿宋" w:hAnsi="仿宋" w:hint="eastAsia"/>
          <w:sz w:val="30"/>
          <w:szCs w:val="30"/>
        </w:rPr>
        <w:t>、</w:t>
      </w:r>
      <w:r w:rsidRPr="000A3E79">
        <w:rPr>
          <w:rFonts w:ascii="仿宋" w:eastAsia="仿宋" w:hAnsi="仿宋"/>
          <w:sz w:val="30"/>
          <w:szCs w:val="30"/>
        </w:rPr>
        <w:t>舟山市正源新能源贸易有限公司</w:t>
      </w:r>
      <w:r w:rsidRPr="000A3E79">
        <w:rPr>
          <w:rFonts w:ascii="仿宋" w:eastAsia="仿宋" w:hAnsi="仿宋" w:hint="eastAsia"/>
          <w:sz w:val="30"/>
          <w:szCs w:val="30"/>
        </w:rPr>
        <w:t>、</w:t>
      </w:r>
      <w:r w:rsidRPr="000A3E79">
        <w:rPr>
          <w:rFonts w:ascii="仿宋" w:eastAsia="仿宋" w:hAnsi="仿宋"/>
          <w:sz w:val="30"/>
          <w:szCs w:val="30"/>
        </w:rPr>
        <w:t>舟山市正寅机械制造有限公司</w:t>
      </w:r>
      <w:r w:rsidRPr="000A3E79">
        <w:rPr>
          <w:rFonts w:ascii="仿宋" w:eastAsia="仿宋" w:hAnsi="仿宋" w:hint="eastAsia"/>
          <w:sz w:val="30"/>
          <w:szCs w:val="30"/>
        </w:rPr>
        <w:t>、</w:t>
      </w:r>
      <w:r w:rsidRPr="000A3E79">
        <w:rPr>
          <w:rFonts w:ascii="仿宋" w:eastAsia="仿宋" w:hAnsi="仿宋"/>
          <w:sz w:val="30"/>
          <w:szCs w:val="30"/>
        </w:rPr>
        <w:t>宁波市正寅机械制造有限公司</w:t>
      </w:r>
      <w:r w:rsidRPr="000A3E79">
        <w:rPr>
          <w:rFonts w:ascii="仿宋" w:eastAsia="仿宋" w:hAnsi="仿宋" w:hint="eastAsia"/>
          <w:sz w:val="30"/>
          <w:szCs w:val="30"/>
        </w:rPr>
        <w:t>、</w:t>
      </w:r>
      <w:r w:rsidRPr="000A3E79">
        <w:rPr>
          <w:rFonts w:ascii="仿宋" w:eastAsia="仿宋" w:hAnsi="仿宋"/>
          <w:sz w:val="30"/>
          <w:szCs w:val="30"/>
        </w:rPr>
        <w:t>舟山市正源标准件有限公司废旧金属物资回收分公司</w:t>
      </w:r>
      <w:r w:rsidRPr="000A3E79">
        <w:rPr>
          <w:rFonts w:ascii="仿宋" w:eastAsia="仿宋" w:hAnsi="仿宋" w:hint="eastAsia"/>
          <w:sz w:val="30"/>
          <w:szCs w:val="30"/>
        </w:rPr>
        <w:t>等。</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股权被采取诉讼保全措施或者被强制执行、被采取责令停业整顿等情况。该公司所持本行股权未有被诉讼保全或被强制执行情况，公司未有被责令停业等情况。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履行承诺事项情况。2023年，舟山市正源标准件有限公司作为本行主要股东，能遵守法律法规、监管规定和本行章程，履行出资人义务及时、准确、完整报送经营状况、财务信息、股权结构等情况，充分披露相关信息，全力支持本行加强“三农”和小微企业服务。</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（3）</w:t>
      </w:r>
      <w:r w:rsidRPr="000A3E79">
        <w:rPr>
          <w:rFonts w:ascii="仿宋" w:eastAsia="仿宋" w:hAnsi="仿宋"/>
          <w:sz w:val="30"/>
          <w:szCs w:val="30"/>
        </w:rPr>
        <w:t>舟山市普陀海汇水产有限公司</w:t>
      </w:r>
      <w:r w:rsidRPr="000A3E79">
        <w:rPr>
          <w:rFonts w:ascii="仿宋" w:eastAsia="仿宋" w:hAnsi="仿宋" w:hint="eastAsia"/>
          <w:sz w:val="30"/>
          <w:szCs w:val="30"/>
        </w:rPr>
        <w:t>。公司所持本行股权1943.39万股，占比3.77%。</w:t>
      </w:r>
      <w:r w:rsidRPr="000A3E79">
        <w:rPr>
          <w:rFonts w:ascii="仿宋" w:eastAsia="仿宋" w:hAnsi="仿宋"/>
          <w:sz w:val="30"/>
          <w:szCs w:val="30"/>
        </w:rPr>
        <w:t xml:space="preserve">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企业经营及资质状况。截至2023年未，公司资产总额16592万元，其中长期股权投资4097万元；负债总额7952万元；所有者权益8640万元，其中实收资本4950万元，资本公积30万元，盈余公积184万元，未分配利润3321万元。2023年实现经营收入14964万元，净利</w:t>
      </w:r>
      <w:r w:rsidRPr="000A3E79">
        <w:rPr>
          <w:rFonts w:ascii="仿宋" w:eastAsia="仿宋" w:hAnsi="仿宋" w:hint="eastAsia"/>
          <w:sz w:val="30"/>
          <w:szCs w:val="30"/>
        </w:rPr>
        <w:lastRenderedPageBreak/>
        <w:t xml:space="preserve">润156万元。权益性投资占企业净资产的比例为47.42%，净资产占全部资产的比例为52.07%。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结构，控股股东、实际控制人、关联方、一致行动人、最终受益人及其变动情况。2023年末，公司注册资金4950万元，法定代表人徐瑞忠，股东为徐璐（持股30%）、张瑞珠（持股30%）、胡建杰（持股20%）、徐瑞忠（持股20%）。根据穿透原则，公司实际控制人和最终受益人为徐瑞忠、张瑞珠（夫妻）以及胡建杰、徐璐（夫妻）。关联方企业有</w:t>
      </w:r>
      <w:r w:rsidRPr="000A3E79">
        <w:rPr>
          <w:rFonts w:ascii="仿宋" w:eastAsia="仿宋" w:hAnsi="仿宋"/>
          <w:sz w:val="30"/>
          <w:szCs w:val="30"/>
        </w:rPr>
        <w:t>舟山市尊汇水产品有限公司</w:t>
      </w:r>
      <w:r w:rsidRPr="000A3E79">
        <w:rPr>
          <w:rFonts w:ascii="仿宋" w:eastAsia="仿宋" w:hAnsi="仿宋" w:hint="eastAsia"/>
          <w:sz w:val="30"/>
          <w:szCs w:val="30"/>
        </w:rPr>
        <w:t>等。公司总经理、股东胡建杰个人持本行股权207488股。</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股权被采取诉讼保全措施或者被强制执行、被采取责令停业整顿等情况。该公司所持本行股权未有被诉讼保全或被强制执行情况，公司未有被责令停业等情况。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履行承诺事项情况。2023年，</w:t>
      </w:r>
      <w:r w:rsidRPr="000A3E79">
        <w:rPr>
          <w:rFonts w:ascii="仿宋" w:eastAsia="仿宋" w:hAnsi="仿宋"/>
          <w:sz w:val="30"/>
          <w:szCs w:val="30"/>
        </w:rPr>
        <w:t>舟山市普陀海汇水产有限公司</w:t>
      </w:r>
      <w:r w:rsidRPr="000A3E79">
        <w:rPr>
          <w:rFonts w:ascii="仿宋" w:eastAsia="仿宋" w:hAnsi="仿宋" w:hint="eastAsia"/>
          <w:sz w:val="30"/>
          <w:szCs w:val="30"/>
        </w:rPr>
        <w:t>作为本行主要股东，能遵守法律法规、监管规定和本行章程，履行出资人义务及时、准确、完整报送经营状况、财务信息、股权结构等情况，充分披露相关信息，全力支持本行加强“三农”和小微企业服务。</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（4）</w:t>
      </w:r>
      <w:r w:rsidRPr="000A3E79">
        <w:rPr>
          <w:rFonts w:ascii="仿宋" w:eastAsia="仿宋" w:hAnsi="仿宋"/>
          <w:sz w:val="30"/>
          <w:szCs w:val="30"/>
        </w:rPr>
        <w:t>浙江鑫旺食品有限公司</w:t>
      </w:r>
      <w:r w:rsidRPr="000A3E79">
        <w:rPr>
          <w:rFonts w:ascii="仿宋" w:eastAsia="仿宋" w:hAnsi="仿宋" w:hint="eastAsia"/>
          <w:sz w:val="30"/>
          <w:szCs w:val="30"/>
        </w:rPr>
        <w:t>，所持本行股权</w:t>
      </w:r>
      <w:r w:rsidRPr="000A3E79">
        <w:rPr>
          <w:rFonts w:ascii="仿宋" w:eastAsia="仿宋" w:hAnsi="仿宋"/>
          <w:sz w:val="30"/>
          <w:szCs w:val="30"/>
        </w:rPr>
        <w:t>8</w:t>
      </w:r>
      <w:r w:rsidRPr="000A3E79">
        <w:rPr>
          <w:rFonts w:ascii="仿宋" w:eastAsia="仿宋" w:hAnsi="仿宋" w:hint="eastAsia"/>
          <w:sz w:val="30"/>
          <w:szCs w:val="30"/>
        </w:rPr>
        <w:t>34.63万股，占比1.62%。</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 xml:space="preserve">企业经营及资质状况。截至2023年未，公司资产总额14356万元，其中长期股权投资2550万元；负债总额5962万元；所有者权益8394万元，其中实收资本3000万元，资本公积640万元，盈余公积620万元，未分配利润4134万元。2023年实现经营收入13309万元，净利润1961万元。权益性投资占企业净资产的比例为30.38%，净资产占全部资产的比例为58.47%。 </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结构，控股股东、实际控制人、关联方、一致行动人、最终受益人及其变动情况。2023年末，公司注册资金3000万元，公司法定代表人翁永妙，主要股东翁永妙，持股90%，公司实际控制人和最终受益人为翁永妙。关联方企业有</w:t>
      </w:r>
      <w:r w:rsidRPr="000A3E79">
        <w:rPr>
          <w:rFonts w:ascii="仿宋" w:eastAsia="仿宋" w:hAnsi="仿宋"/>
          <w:sz w:val="30"/>
          <w:szCs w:val="30"/>
        </w:rPr>
        <w:t>舟山市普陀舒力达食品有限公司</w:t>
      </w:r>
      <w:r w:rsidRPr="000A3E79">
        <w:rPr>
          <w:rFonts w:ascii="仿宋" w:eastAsia="仿宋" w:hAnsi="仿宋" w:hint="eastAsia"/>
          <w:sz w:val="30"/>
          <w:szCs w:val="30"/>
        </w:rPr>
        <w:t>、</w:t>
      </w:r>
      <w:r w:rsidRPr="000A3E79">
        <w:rPr>
          <w:rFonts w:ascii="仿宋" w:eastAsia="仿宋" w:hAnsi="仿宋"/>
          <w:sz w:val="30"/>
          <w:szCs w:val="30"/>
        </w:rPr>
        <w:lastRenderedPageBreak/>
        <w:t>舟山海特力水产有限公司</w:t>
      </w:r>
      <w:r w:rsidRPr="000A3E79">
        <w:rPr>
          <w:rFonts w:ascii="仿宋" w:eastAsia="仿宋" w:hAnsi="仿宋" w:hint="eastAsia"/>
          <w:sz w:val="30"/>
          <w:szCs w:val="30"/>
        </w:rPr>
        <w:t>等。</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股权被采取诉讼保全措施或者被强制执行、被采取责令停业整顿等情况。该公司所持本行股权未有被诉讼保全或被强制执行情况，公司未有被责令停业等情况。</w:t>
      </w:r>
    </w:p>
    <w:p w:rsidR="00BA3138" w:rsidRPr="000A3E79" w:rsidRDefault="00BA3138" w:rsidP="00BA3138">
      <w:pPr>
        <w:autoSpaceDE w:val="0"/>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履行承诺事项情况。2023年，</w:t>
      </w:r>
      <w:r w:rsidRPr="000A3E79">
        <w:rPr>
          <w:rFonts w:ascii="仿宋" w:eastAsia="仿宋" w:hAnsi="仿宋"/>
          <w:sz w:val="30"/>
          <w:szCs w:val="30"/>
        </w:rPr>
        <w:t>浙江鑫旺食品有限公司</w:t>
      </w:r>
      <w:r w:rsidRPr="000A3E79">
        <w:rPr>
          <w:rFonts w:ascii="仿宋" w:eastAsia="仿宋" w:hAnsi="仿宋" w:hint="eastAsia"/>
          <w:sz w:val="30"/>
          <w:szCs w:val="30"/>
        </w:rPr>
        <w:t>能遵守法律法规、监管规定和本行章程，履行出资人义务及时、准确、完整报送经营状况、财务信息、股权结构等情况，充分披露相关信息，全力支持本行加强“三农”和小微企业服务。</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4</w:t>
      </w:r>
      <w:r w:rsidR="00CC7BFB">
        <w:rPr>
          <w:rFonts w:ascii="仿宋" w:eastAsia="仿宋" w:hAnsi="仿宋" w:hint="eastAsia"/>
          <w:sz w:val="30"/>
          <w:szCs w:val="30"/>
        </w:rPr>
        <w:t>.</w:t>
      </w:r>
      <w:r w:rsidRPr="000A3E79">
        <w:rPr>
          <w:rFonts w:ascii="仿宋" w:eastAsia="仿宋" w:hAnsi="仿宋" w:hint="eastAsia"/>
          <w:sz w:val="30"/>
          <w:szCs w:val="30"/>
        </w:rPr>
        <w:t>本行有股权的董事、监事和高级管理层等个人主要股东资质评估</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缪军。本行法定代表人，董事长。个人所持本行股权53.11万股，持股比例0.1%。所持本行股权未有被诉讼保全或被强制执行情况。关联自然人王海英、缪婉怡等。股东资质好。</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谢建成。本行行长，董事。个人所持本行股权53.11万股，持股比例0.1%。所持本行股权未有被诉讼保全或被强制执行情况。关联自然人刘燕妍、谢璐泽等。股东资质好。</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陈晓。本行副行长，董事。个人所持本行股权29.57万股，持股比例0.06%。所持本行股权未有被诉讼保全或被强制执行情况。关联自然人洪丹璐等。股东资质好。</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严安秧。本行董事会董事，个人所持本行股权8.89万股，关联方为舟山海沿疏浚工程有限公司、邓文君、严文飞。个人所持本行股权未有被诉讼保全或被强制执行情况。</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郑文波。本行监事长。个人所持本行股权62.09万股，持股比例0.12%。所持本行股权未有被诉讼保全或被强制执行情况。关联自然人徐尔、郑嘉涵等。股东资质好。</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傅爱光。本行审计部总经理、职工监事。个人所持本行股权53.11</w:t>
      </w:r>
      <w:r w:rsidR="00FA525B" w:rsidRPr="000A3E79">
        <w:rPr>
          <w:rFonts w:ascii="仿宋" w:eastAsia="仿宋" w:hAnsi="仿宋" w:hint="eastAsia"/>
          <w:sz w:val="30"/>
          <w:szCs w:val="30"/>
        </w:rPr>
        <w:t>万</w:t>
      </w:r>
      <w:r w:rsidRPr="000A3E79">
        <w:rPr>
          <w:rFonts w:ascii="仿宋" w:eastAsia="仿宋" w:hAnsi="仿宋" w:hint="eastAsia"/>
          <w:sz w:val="30"/>
          <w:szCs w:val="30"/>
        </w:rPr>
        <w:t>股，持股比例0.1%。股权未有被诉讼保全或被强制执行情况。关联自然人</w:t>
      </w:r>
      <w:r w:rsidRPr="000A3E79">
        <w:rPr>
          <w:rFonts w:ascii="仿宋" w:eastAsia="仿宋" w:hAnsi="仿宋"/>
          <w:sz w:val="30"/>
          <w:szCs w:val="30"/>
        </w:rPr>
        <w:t>庄国女</w:t>
      </w:r>
      <w:r w:rsidRPr="000A3E79">
        <w:rPr>
          <w:rFonts w:ascii="仿宋" w:eastAsia="仿宋" w:hAnsi="仿宋" w:hint="eastAsia"/>
          <w:sz w:val="30"/>
          <w:szCs w:val="30"/>
        </w:rPr>
        <w:t>、</w:t>
      </w:r>
      <w:r w:rsidRPr="000A3E79">
        <w:rPr>
          <w:rFonts w:ascii="仿宋" w:eastAsia="仿宋" w:hAnsi="仿宋"/>
          <w:sz w:val="30"/>
          <w:szCs w:val="30"/>
        </w:rPr>
        <w:t>傅琪媛</w:t>
      </w:r>
      <w:r w:rsidRPr="000A3E79">
        <w:rPr>
          <w:rFonts w:ascii="仿宋" w:eastAsia="仿宋" w:hAnsi="仿宋" w:hint="eastAsia"/>
          <w:sz w:val="30"/>
          <w:szCs w:val="30"/>
        </w:rPr>
        <w:t>等。股东资质好。</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翁晓云。本行纪检办职工、职工监事。个人所持本行股权14.87</w:t>
      </w:r>
      <w:r w:rsidR="00FA525B" w:rsidRPr="000A3E79">
        <w:rPr>
          <w:rFonts w:ascii="仿宋" w:eastAsia="仿宋" w:hAnsi="仿宋" w:hint="eastAsia"/>
          <w:sz w:val="30"/>
          <w:szCs w:val="30"/>
        </w:rPr>
        <w:t>万</w:t>
      </w:r>
      <w:r w:rsidRPr="000A3E79">
        <w:rPr>
          <w:rFonts w:ascii="仿宋" w:eastAsia="仿宋" w:hAnsi="仿宋" w:hint="eastAsia"/>
          <w:sz w:val="30"/>
          <w:szCs w:val="30"/>
        </w:rPr>
        <w:t>股，持股比例0.03%。股权未有被诉讼保全或被强制执行情况。关联自然人</w:t>
      </w:r>
      <w:r w:rsidRPr="000A3E79">
        <w:rPr>
          <w:rFonts w:ascii="仿宋" w:eastAsia="仿宋" w:hAnsi="仿宋"/>
          <w:sz w:val="30"/>
          <w:szCs w:val="30"/>
        </w:rPr>
        <w:t>汤智凌</w:t>
      </w:r>
      <w:r w:rsidRPr="000A3E79">
        <w:rPr>
          <w:rFonts w:ascii="仿宋" w:eastAsia="仿宋" w:hAnsi="仿宋" w:hint="eastAsia"/>
          <w:sz w:val="30"/>
          <w:szCs w:val="30"/>
        </w:rPr>
        <w:t>等。股东资质好。</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刘坚军。本行副行长。个人所持本行股权</w:t>
      </w:r>
      <w:r w:rsidR="00FA525B" w:rsidRPr="000A3E79">
        <w:rPr>
          <w:rFonts w:ascii="仿宋" w:eastAsia="仿宋" w:hAnsi="仿宋" w:hint="eastAsia"/>
          <w:sz w:val="30"/>
          <w:szCs w:val="30"/>
        </w:rPr>
        <w:t>14.87万</w:t>
      </w:r>
      <w:r w:rsidRPr="000A3E79">
        <w:rPr>
          <w:rFonts w:ascii="仿宋" w:eastAsia="仿宋" w:hAnsi="仿宋" w:hint="eastAsia"/>
          <w:sz w:val="30"/>
          <w:szCs w:val="30"/>
        </w:rPr>
        <w:t>股，持股比例0.03%</w:t>
      </w:r>
      <w:r w:rsidR="00FA525B">
        <w:rPr>
          <w:rFonts w:ascii="仿宋" w:eastAsia="仿宋" w:hAnsi="仿宋" w:hint="eastAsia"/>
          <w:sz w:val="30"/>
          <w:szCs w:val="30"/>
        </w:rPr>
        <w:t>。股权未有被诉讼</w:t>
      </w:r>
      <w:r w:rsidR="00FA525B" w:rsidRPr="000A3E79">
        <w:rPr>
          <w:rFonts w:ascii="仿宋" w:eastAsia="仿宋" w:hAnsi="仿宋" w:hint="eastAsia"/>
          <w:sz w:val="30"/>
          <w:szCs w:val="30"/>
        </w:rPr>
        <w:t>保全</w:t>
      </w:r>
      <w:r w:rsidRPr="000A3E79">
        <w:rPr>
          <w:rFonts w:ascii="仿宋" w:eastAsia="仿宋" w:hAnsi="仿宋" w:hint="eastAsia"/>
          <w:sz w:val="30"/>
          <w:szCs w:val="30"/>
        </w:rPr>
        <w:t>或被强制执行等情况。关联自然人洪苗</w:t>
      </w:r>
      <w:r>
        <w:rPr>
          <w:rFonts w:ascii="仿宋" w:eastAsia="仿宋" w:hAnsi="仿宋" w:hint="eastAsia"/>
          <w:sz w:val="30"/>
          <w:szCs w:val="30"/>
        </w:rPr>
        <w:t>等。</w:t>
      </w:r>
      <w:r w:rsidRPr="000A3E79">
        <w:rPr>
          <w:rFonts w:ascii="仿宋" w:eastAsia="仿宋" w:hAnsi="仿宋" w:hint="eastAsia"/>
          <w:sz w:val="30"/>
          <w:szCs w:val="30"/>
        </w:rPr>
        <w:t>股东资质好。</w:t>
      </w:r>
    </w:p>
    <w:p w:rsidR="00BA3138" w:rsidRPr="000A3E79"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（三）股东大会。股东大会是本行的权力机构，由全体股东组成，依法行使下列职权：</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1.制定、修改本行章程；</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2.审议通过股东大会、董事会、监事会议事规则和应当由股东大会通过的其他规章制度；</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3.选举和更换董事、非职工监事，决定有关董事、监事的报酬事项；</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4.审议、批准董事会、监事会工作报告；</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5.审议、批准本行的发展规划，决定本行的经营方针和投资计划；</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6.审议、批准本行年度财务预算方案、决算方案，利润分配方案和亏损弥补方案；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7.审议、批准本行回购股份方案；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8.审议、批准股权激励计划；</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9.审议单独或者合并持有本行股份总数</w:t>
      </w:r>
      <w:r w:rsidRPr="000A3E79">
        <w:rPr>
          <w:rFonts w:ascii="仿宋" w:eastAsia="仿宋" w:hAnsi="仿宋"/>
          <w:sz w:val="30"/>
          <w:szCs w:val="30"/>
        </w:rPr>
        <w:t>3%</w:t>
      </w:r>
      <w:r w:rsidRPr="000A3E79">
        <w:rPr>
          <w:rFonts w:ascii="仿宋" w:eastAsia="仿宋" w:hAnsi="仿宋" w:hint="eastAsia"/>
          <w:sz w:val="30"/>
          <w:szCs w:val="30"/>
        </w:rPr>
        <w:t>以上的股东提出的议案；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10.审议、批准单笔交易金额占本行最近一期经审计的净资产</w:t>
      </w:r>
      <w:r w:rsidRPr="000A3E79">
        <w:rPr>
          <w:rFonts w:ascii="仿宋" w:eastAsia="仿宋" w:hAnsi="仿宋"/>
          <w:sz w:val="30"/>
          <w:szCs w:val="30"/>
        </w:rPr>
        <w:t>10%</w:t>
      </w:r>
      <w:r w:rsidRPr="000A3E79">
        <w:rPr>
          <w:rFonts w:ascii="仿宋" w:eastAsia="仿宋" w:hAnsi="仿宋" w:hint="eastAsia"/>
          <w:sz w:val="30"/>
          <w:szCs w:val="30"/>
        </w:rPr>
        <w:t>以上的重大股权投资、重大资产收购和处置事项，审议本行在一年内购买、出售重大资产金额超过本行最近一期经审计总资产</w:t>
      </w:r>
      <w:r w:rsidRPr="000A3E79">
        <w:rPr>
          <w:rFonts w:ascii="仿宋" w:eastAsia="仿宋" w:hAnsi="仿宋"/>
          <w:sz w:val="30"/>
          <w:szCs w:val="30"/>
        </w:rPr>
        <w:t>30%</w:t>
      </w:r>
      <w:r w:rsidRPr="000A3E79">
        <w:rPr>
          <w:rFonts w:ascii="仿宋" w:eastAsia="仿宋" w:hAnsi="仿宋" w:hint="eastAsia"/>
          <w:sz w:val="30"/>
          <w:szCs w:val="30"/>
        </w:rPr>
        <w:t>的事项；</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11.对本行增加或减少注册资本、发行债券、次级债券或混合资本债券作出决议；</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12.对本行的合并、分立、解散、清算或变更公司形式等事项作出决议；</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13.审议适用法律、法规及本章程规定应当由股东大会审议通过的</w:t>
      </w:r>
      <w:r w:rsidRPr="000A3E79">
        <w:rPr>
          <w:rFonts w:ascii="仿宋" w:eastAsia="仿宋" w:hAnsi="仿宋" w:hint="eastAsia"/>
          <w:sz w:val="30"/>
          <w:szCs w:val="30"/>
        </w:rPr>
        <w:lastRenderedPageBreak/>
        <w:t>其他事项。</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sz w:val="30"/>
          <w:szCs w:val="30"/>
        </w:rPr>
        <w:t>20</w:t>
      </w:r>
      <w:r w:rsidRPr="000A3E79">
        <w:rPr>
          <w:rFonts w:ascii="仿宋" w:eastAsia="仿宋" w:hAnsi="仿宋" w:hint="eastAsia"/>
          <w:sz w:val="30"/>
          <w:szCs w:val="30"/>
        </w:rPr>
        <w:t>23年4月26日，在本行802报告厅召开了</w:t>
      </w:r>
      <w:r w:rsidRPr="000A3E79">
        <w:rPr>
          <w:rFonts w:ascii="仿宋" w:eastAsia="仿宋" w:hAnsi="仿宋"/>
          <w:sz w:val="30"/>
          <w:szCs w:val="30"/>
        </w:rPr>
        <w:t>20</w:t>
      </w:r>
      <w:r w:rsidRPr="000A3E79">
        <w:rPr>
          <w:rFonts w:ascii="仿宋" w:eastAsia="仿宋" w:hAnsi="仿宋" w:hint="eastAsia"/>
          <w:sz w:val="30"/>
          <w:szCs w:val="30"/>
        </w:rPr>
        <w:t>22年度股东大会，大会实到股东82人。本次股东大会对股权质押50%以上的股东作100%限权，剔除限权后，持表决权票数3.4282.5228股，占总股份的比例为68.50％，本行11名董事和7名监事参加，浙江六和律师事务所2名律师见证。大会对《普陀农村商业银行董事会2022年工作报告》（草案）、《普陀农村商业银行监事会2022年工作报告》（草案）、《普陀农村商业银行2022年度“两会一层”及成员履职情况评价报告》（草案）、《普陀农村商业银行2022年财务预算执行情况及2023年财务预算报告》（草案）、《普陀农村商业银行2022年利润分配方案》（草案）、《普陀农村商业银行章程修订案》（草案）、《关于修订普陀农村商业银行股东大会议事规则的议案》（草案）、《关于修订普陀农村商业银行董事会议事规则的议案》（草案）、《关于修订普陀农村商业银行独立董事工作制度的议案》（草案）、《关于聘请2023年度外部审计机构的议案》（草案）、《关于发行二级资本债的议案》（草案）等进行了审议，并书面表决通过以上议案。对《普陀农村商业银行2022年度关联交易情况报告》、《普陀农村商业银行2022年度“三农”金融工作报告》听取审议。大会还选举了1名本行第三届董事会非执行董事和1名第三届监事会非职工监事。</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（四）董事会</w:t>
      </w:r>
    </w:p>
    <w:p w:rsidR="00BA3138" w:rsidRPr="000A3E79" w:rsidRDefault="00BA3138" w:rsidP="00BA3138">
      <w:pPr>
        <w:tabs>
          <w:tab w:val="left" w:pos="1900"/>
        </w:tabs>
        <w:spacing w:line="500" w:lineRule="exact"/>
        <w:ind w:firstLineChars="250" w:firstLine="750"/>
        <w:rPr>
          <w:rFonts w:ascii="仿宋" w:eastAsia="仿宋" w:hAnsi="仿宋"/>
          <w:sz w:val="30"/>
          <w:szCs w:val="30"/>
        </w:rPr>
      </w:pPr>
      <w:r w:rsidRPr="000A3E79">
        <w:rPr>
          <w:rFonts w:ascii="仿宋" w:eastAsia="仿宋" w:hAnsi="仿宋" w:hint="eastAsia"/>
          <w:sz w:val="30"/>
          <w:szCs w:val="30"/>
        </w:rPr>
        <w:t>1.董事会职责。本行董事会对股东大会负责，是股东大会的执行机构和本行的经营决策机构。依法行使下列职权：</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（1）负责召集股东大会，向股东大会提出提案并报告工作；</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（2）执行股东大会决议；</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（3）制订本行中长期发展规划和发展战略；</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（4）决定本行年度经营考核指标，并批准本行年度经营计划；</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（5）制订本行年度财务预算、决算方案；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（6）制订本行利润分配和弥补亏损方案；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（7）制订本行股份回购、增加或减少注册资本、发行债券、次级债券或混合资本债券的方案；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（8）制订本行的重大收购或者合并、分立、解散、清算或变更公司形式的方案；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（9）决定本行的内部管理机构和分支机构设置；</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10）选举产生董事长。根据董事提名聘任或解聘本行董事会秘书。根据董事提名董事会聘任或解聘本行行长。根据行长提名董事会聘任或解聘本行副行长，聘任或解聘合规、财务、内审等部门负责人，并决定其报酬事项。</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（11）审议批准本行对外投资、资产处置方案、关联交易及财务等事项；</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（12）制定本行的基本管理制度，决定风险管理和内部控制政策；</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（13）制定本行的资本补充规划和实施方案；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（14）拟订本章程的修改方案；</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（15）制定、修改董事会各专门委员会工作规则，确定董事会各专门委员会主任委员及委员；</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（16）决定本行信息披露事项，并对本行所披露信息的真实性、完整性、准确性承担相应责任；</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（17）听取本行行长的工作汇报并检查行长的工作，监督本行高级管理层的履职情况，确保高级管理层有效履行管理职责；</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（18）定期评估并完善本行的公司治理状况；</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（19）听取中国银行监督管理机构等对本行的监管意见及本行执行整改情况的报告；</w:t>
      </w:r>
    </w:p>
    <w:p w:rsidR="00BA3138" w:rsidRPr="000A3E79" w:rsidRDefault="00BA3138" w:rsidP="00BA3138">
      <w:pPr>
        <w:tabs>
          <w:tab w:val="left" w:pos="1900"/>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（20）本章程规定和股东大会授予的其他权利。</w:t>
      </w:r>
    </w:p>
    <w:p w:rsidR="00BA3138" w:rsidRPr="000A3E79" w:rsidRDefault="00BA3138" w:rsidP="00BA3138">
      <w:pPr>
        <w:tabs>
          <w:tab w:val="left" w:pos="1900"/>
          <w:tab w:val="left" w:pos="6855"/>
        </w:tabs>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2.董事会人员构成及简历</w:t>
      </w:r>
      <w:r w:rsidRPr="000A3E79">
        <w:rPr>
          <w:rFonts w:ascii="仿宋" w:eastAsia="仿宋" w:hAnsi="仿宋"/>
          <w:sz w:val="30"/>
          <w:szCs w:val="30"/>
        </w:rPr>
        <w:tab/>
      </w:r>
    </w:p>
    <w:p w:rsidR="00BA3138" w:rsidRDefault="00BA3138" w:rsidP="00BA3138">
      <w:pPr>
        <w:spacing w:line="500" w:lineRule="exact"/>
        <w:ind w:firstLineChars="200" w:firstLine="600"/>
        <w:rPr>
          <w:rFonts w:ascii="仿宋" w:eastAsia="仿宋" w:hAnsi="仿宋"/>
          <w:sz w:val="30"/>
          <w:szCs w:val="30"/>
        </w:rPr>
      </w:pPr>
      <w:r w:rsidRPr="000A3E79">
        <w:rPr>
          <w:rFonts w:ascii="仿宋" w:eastAsia="仿宋" w:hAnsi="仿宋" w:hint="eastAsia"/>
          <w:sz w:val="30"/>
          <w:szCs w:val="30"/>
        </w:rPr>
        <w:t>至2023年末，本行三届董事会董事人数共</w:t>
      </w:r>
      <w:r w:rsidRPr="000A3E79">
        <w:rPr>
          <w:rFonts w:ascii="仿宋" w:eastAsia="仿宋" w:hAnsi="仿宋"/>
          <w:sz w:val="30"/>
          <w:szCs w:val="30"/>
        </w:rPr>
        <w:t>1</w:t>
      </w:r>
      <w:r w:rsidRPr="000A3E79">
        <w:rPr>
          <w:rFonts w:ascii="仿宋" w:eastAsia="仿宋" w:hAnsi="仿宋" w:hint="eastAsia"/>
          <w:sz w:val="30"/>
          <w:szCs w:val="30"/>
        </w:rPr>
        <w:t>0人，其中执行董事3人, 独立董事2人，非执行董事5人。董事会具体组成人员如下：</w:t>
      </w:r>
    </w:p>
    <w:p w:rsidR="00BA3138" w:rsidRPr="000A3E79" w:rsidRDefault="00BA3138" w:rsidP="00BA3138">
      <w:pPr>
        <w:spacing w:line="500" w:lineRule="exact"/>
        <w:ind w:firstLineChars="200" w:firstLine="600"/>
        <w:rPr>
          <w:rFonts w:ascii="仿宋" w:eastAsia="仿宋" w:hAnsi="仿宋"/>
          <w:sz w:val="30"/>
          <w:szCs w:val="30"/>
        </w:rPr>
      </w:pPr>
    </w:p>
    <w:tbl>
      <w:tblPr>
        <w:tblW w:w="9162" w:type="dxa"/>
        <w:tblBorders>
          <w:top w:val="single" w:sz="4" w:space="0" w:color="auto"/>
          <w:bottom w:val="single" w:sz="4" w:space="0" w:color="auto"/>
          <w:insideV w:val="single" w:sz="4" w:space="0" w:color="auto"/>
        </w:tblBorders>
        <w:tblLayout w:type="fixed"/>
        <w:tblLook w:val="00A0"/>
      </w:tblPr>
      <w:tblGrid>
        <w:gridCol w:w="790"/>
        <w:gridCol w:w="1050"/>
        <w:gridCol w:w="1572"/>
        <w:gridCol w:w="4440"/>
        <w:gridCol w:w="1310"/>
      </w:tblGrid>
      <w:tr w:rsidR="00BA3138" w:rsidRPr="006C6E50" w:rsidTr="00025338">
        <w:tc>
          <w:tcPr>
            <w:tcW w:w="790"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lastRenderedPageBreak/>
              <w:t>序号</w:t>
            </w:r>
          </w:p>
        </w:tc>
        <w:tc>
          <w:tcPr>
            <w:tcW w:w="1050"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姓</w:t>
            </w:r>
            <w:r w:rsidRPr="006C6E50">
              <w:rPr>
                <w:rFonts w:ascii="宋体" w:hAnsi="宋体"/>
                <w:sz w:val="18"/>
                <w:szCs w:val="18"/>
              </w:rPr>
              <w:t xml:space="preserve">  </w:t>
            </w:r>
            <w:r w:rsidRPr="006C6E50">
              <w:rPr>
                <w:rFonts w:ascii="宋体" w:hAnsi="宋体" w:hint="eastAsia"/>
                <w:sz w:val="18"/>
                <w:szCs w:val="18"/>
              </w:rPr>
              <w:t>名</w:t>
            </w:r>
          </w:p>
        </w:tc>
        <w:tc>
          <w:tcPr>
            <w:tcW w:w="1572"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性</w:t>
            </w:r>
            <w:r w:rsidRPr="006C6E50">
              <w:rPr>
                <w:rFonts w:ascii="宋体" w:hAnsi="宋体"/>
                <w:sz w:val="18"/>
                <w:szCs w:val="18"/>
              </w:rPr>
              <w:t xml:space="preserve">  </w:t>
            </w:r>
            <w:r w:rsidRPr="006C6E50">
              <w:rPr>
                <w:rFonts w:ascii="宋体" w:hAnsi="宋体" w:hint="eastAsia"/>
                <w:sz w:val="18"/>
                <w:szCs w:val="18"/>
              </w:rPr>
              <w:t>质</w:t>
            </w:r>
          </w:p>
        </w:tc>
        <w:tc>
          <w:tcPr>
            <w:tcW w:w="4440"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主要职务及单位</w:t>
            </w:r>
          </w:p>
        </w:tc>
        <w:tc>
          <w:tcPr>
            <w:tcW w:w="1310"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学历学位</w:t>
            </w:r>
          </w:p>
        </w:tc>
      </w:tr>
      <w:tr w:rsidR="00BA3138" w:rsidRPr="006C6E50" w:rsidTr="00025338">
        <w:tc>
          <w:tcPr>
            <w:tcW w:w="790"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sz w:val="18"/>
                <w:szCs w:val="18"/>
              </w:rPr>
              <w:t>1</w:t>
            </w:r>
          </w:p>
        </w:tc>
        <w:tc>
          <w:tcPr>
            <w:tcW w:w="1050"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缪军</w:t>
            </w:r>
          </w:p>
        </w:tc>
        <w:tc>
          <w:tcPr>
            <w:tcW w:w="1572"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执行董事</w:t>
            </w:r>
          </w:p>
        </w:tc>
        <w:tc>
          <w:tcPr>
            <w:tcW w:w="4440"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普陀农村商业银行党委书记、董事长</w:t>
            </w:r>
          </w:p>
        </w:tc>
        <w:tc>
          <w:tcPr>
            <w:tcW w:w="1310"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sz w:val="18"/>
                <w:szCs w:val="18"/>
              </w:rPr>
              <w:t>2</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谢建成</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执行董事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普陀农村商业银行党委副书记、行长</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sz w:val="18"/>
                <w:szCs w:val="18"/>
              </w:rPr>
              <w:t>3</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陈晓</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执行董事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普陀农村商业银行党委委员、副行长</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4</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徐舟波</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独立董事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浙江星岛律师事务所主任、专职律师</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硕士</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5</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胡高福</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独立董事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浙江海洋大学经济与管理学院经济学系主任</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教授</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6</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马平洲</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非执行董事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浙江天海置业发展有限公司董事长</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7</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严安秧</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非执行董事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自然人</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大专</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8</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林仲岳</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非执行董事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舟山市正源标准件有限公司董事长、总经理</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9</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胡建杰</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非执行董事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舟山市普陀海汇水产有限公司总经理</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9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10</w:t>
            </w:r>
          </w:p>
        </w:tc>
        <w:tc>
          <w:tcPr>
            <w:tcW w:w="105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陈保华</w:t>
            </w:r>
          </w:p>
        </w:tc>
        <w:tc>
          <w:tcPr>
            <w:tcW w:w="1572"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非执行董事</w:t>
            </w:r>
          </w:p>
        </w:tc>
        <w:tc>
          <w:tcPr>
            <w:tcW w:w="444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舟山市财金投资控股有限公司开发部部长</w:t>
            </w:r>
          </w:p>
        </w:tc>
        <w:tc>
          <w:tcPr>
            <w:tcW w:w="131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bl>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执行董事缪军，男，1975年12月出生，本科学历，助理经济师职称。2016月9月至2018年4月任普陀农村商业银行副行长；2018年4月至2021年10月任普陀农村商业银行党委委员、行长；2021年11月起任普陀农村商业银行党委书记、董事长。</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执行董事谢建成，男，1973年12月出生，本科学历，助理会计师职称。2018年2月至2021年11月任普陀农村商业银行党委委员、副行长；2021年11月至今任普陀农村商业银行党委委员、副行长（主持工作）；2023年6月起任普陀农村商业银行党委副书记、行长。</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执行董事陈晓，男，1985年10月出生，本科学历，经济师职称。2020年8月至2020年9月，任普陀农村商业银行党委委员、纪委书记，2020年9月至2021年10月，任普陀农村商业银行党委委员、纪委书记、监事长，2021年11月起任普陀农村商业银行党委委员、副行长。</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独立董事徐舟波，男，1967年1月出生，毕业于华东政法大学，法律硕士学位。2002年7月至今为浙江星岛律师事务所主任、专职律师。2021年11月起任普陀农村商为银行三届董事会独立董事。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独立董事胡高福，男，1962年1月出生，现任浙江海洋大学经济与管理学院经济学系主任。2018年4月起任普陀农村商业银行二届、三届董事会独立董事。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非执行董事马平洲，男，1958年10月出生，现任浙江天海置业发展有限公司董事长、总经理。2012年11月至2013年9月任普陀农</w:t>
      </w:r>
      <w:r w:rsidRPr="000A3E79">
        <w:rPr>
          <w:rFonts w:ascii="仿宋" w:eastAsia="仿宋" w:hAnsi="仿宋" w:hint="eastAsia"/>
          <w:sz w:val="30"/>
          <w:szCs w:val="30"/>
        </w:rPr>
        <w:lastRenderedPageBreak/>
        <w:t>村合作银行第二届董事会董事，2013年9月至今任普陀农村商业银行第一届、第二届、第三届董事会董事。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非执行董事严安秧，男，1961年2月出生，大专文化程度，审计师职称。2008年12月至2013年9月任普陀农村合作银行董事，2013年9月至今任普陀农村商业银行第一届、第二届、第三届董事会董事。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非执行董事林仲岳，男，1964年2月出生，大学文化程度，经济师职称，现为舟山市正源标准件有限公司董事长、总经理。2021年11月起任普陀农村商业银行三届董事会董事。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非执行董事胡建杰，男，1986年7月出生，注册会计师，毕业于同济大学德语系，现任舟山市普陀海汇水产有限公司总经理。2021年起任普陀农村商业银行三届董事会董事。</w:t>
      </w:r>
    </w:p>
    <w:p w:rsidR="00BA3138" w:rsidRPr="000A3E79" w:rsidRDefault="00BA3138" w:rsidP="00BA3138">
      <w:pPr>
        <w:autoSpaceDE w:val="0"/>
        <w:autoSpaceDN w:val="0"/>
        <w:adjustRightInd w:val="0"/>
        <w:snapToGrid w:val="0"/>
        <w:spacing w:line="480" w:lineRule="exact"/>
        <w:ind w:firstLineChars="200" w:firstLine="600"/>
        <w:jc w:val="left"/>
        <w:rPr>
          <w:rFonts w:ascii="仿宋" w:eastAsia="仿宋" w:hAnsi="仿宋"/>
          <w:sz w:val="30"/>
          <w:szCs w:val="30"/>
        </w:rPr>
      </w:pPr>
      <w:r w:rsidRPr="000A3E79">
        <w:rPr>
          <w:rFonts w:ascii="仿宋" w:eastAsia="仿宋" w:hAnsi="仿宋" w:hint="eastAsia"/>
          <w:sz w:val="30"/>
          <w:szCs w:val="30"/>
        </w:rPr>
        <w:t>非执行董事陈保华，男，</w:t>
      </w:r>
      <w:r w:rsidRPr="000A3E79">
        <w:rPr>
          <w:rFonts w:ascii="仿宋" w:eastAsia="仿宋" w:hAnsi="仿宋"/>
          <w:sz w:val="30"/>
          <w:szCs w:val="30"/>
        </w:rPr>
        <w:t>1989</w:t>
      </w:r>
      <w:r w:rsidRPr="000A3E79">
        <w:rPr>
          <w:rFonts w:ascii="仿宋" w:eastAsia="仿宋" w:hAnsi="仿宋" w:hint="eastAsia"/>
          <w:sz w:val="30"/>
          <w:szCs w:val="30"/>
        </w:rPr>
        <w:t>年</w:t>
      </w:r>
      <w:r w:rsidRPr="000A3E79">
        <w:rPr>
          <w:rFonts w:ascii="仿宋" w:eastAsia="仿宋" w:hAnsi="仿宋"/>
          <w:sz w:val="30"/>
          <w:szCs w:val="30"/>
        </w:rPr>
        <w:t>3</w:t>
      </w:r>
      <w:r w:rsidRPr="000A3E79">
        <w:rPr>
          <w:rFonts w:ascii="仿宋" w:eastAsia="仿宋" w:hAnsi="仿宋" w:hint="eastAsia"/>
          <w:sz w:val="30"/>
          <w:szCs w:val="30"/>
        </w:rPr>
        <w:t>月出生，大学本科学历，注册会计师（专业阶段）、中级经济师，现任舟山市财金投资控股有限公司总支委员、董事、投资开发部部长，兼任浙江自贸区财金海洋私募基金管理有限公司总经理。2023年6月起任普陀农村商业银行三届董事会董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3.独立董事履职情况。本行2名独立董事2023年履职情况如下：</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1）徐舟波。兼任本行关联交易控制委员会主任委员和提名与薪酬、审计委员会委员。2023年度共参加股东大会1次，参加董事会10次，出席率100%。主持参加关联交易控制委员会会议17次，参加审计委员会会议2次。一年来该独立董事积极履行工作职责，对提交相关议案发表书面独立意见，同时发挥法律专家特长，对本行风险防控、信息科技、改革发展、股东权益维护等提出30多条意见建议，对经营层提出要求，促进了本行管理精细化、经营更加稳健。全年出具书面独立意见书7份，对本行重大关联交易、利润分配、董事提名任免、高级管理层聘任以及薪酬等可能存在利益冲突的事项，发表了客观、公正的独立意见。履职情况好。</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(2)胡高福。兼任审计委员会主任委员、提名与薪酬委员会主任委员和关联交易委员会委员。2023年共参加股东大会1次，参加董事会</w:t>
      </w:r>
      <w:r w:rsidRPr="000A3E79">
        <w:rPr>
          <w:rFonts w:ascii="仿宋" w:eastAsia="仿宋" w:hAnsi="仿宋" w:hint="eastAsia"/>
          <w:sz w:val="30"/>
          <w:szCs w:val="30"/>
        </w:rPr>
        <w:lastRenderedPageBreak/>
        <w:t>10次，出席率100%。主持参加提名与薪酬委员会会议3次，主持审计委员会会议2次，参加关联交易委员会17次。一年来该独立董事积极履行工作职责，运用经济专业特长，对当前经济金融形势、队伍建设、股权管理、风险管控、审计管理、改革发展、股东权益维护等提出意见建议30多条，对经营层提出要求，促进了本行管理精细化、经营更加稳健。全年出具独立董事意见书4份，对本行重大关联交易、利润分配、董事的提名任免、高级管理层的聘任以及薪酬等可能存在利益冲突的事项，发表了客观、公正的独立意见。履职情况好。</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4.董事会召开情况。本年度共召开董事会会议10次，会议程序和到会董事符合章程及董事会议事规则的要求。具体为：</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w:t>
      </w:r>
      <w:r w:rsidRPr="000A3E79">
        <w:rPr>
          <w:rFonts w:ascii="仿宋" w:eastAsia="仿宋" w:hAnsi="仿宋"/>
          <w:sz w:val="30"/>
          <w:szCs w:val="30"/>
        </w:rPr>
        <w:t>1</w:t>
      </w:r>
      <w:r w:rsidRPr="000A3E79">
        <w:rPr>
          <w:rFonts w:ascii="仿宋" w:eastAsia="仿宋" w:hAnsi="仿宋" w:hint="eastAsia"/>
          <w:sz w:val="30"/>
          <w:szCs w:val="30"/>
        </w:rPr>
        <w:t>）</w:t>
      </w:r>
      <w:r w:rsidRPr="000A3E79">
        <w:rPr>
          <w:rFonts w:ascii="仿宋" w:eastAsia="仿宋" w:hAnsi="仿宋"/>
          <w:sz w:val="30"/>
          <w:szCs w:val="30"/>
        </w:rPr>
        <w:t>20</w:t>
      </w:r>
      <w:r w:rsidRPr="000A3E79">
        <w:rPr>
          <w:rFonts w:ascii="仿宋" w:eastAsia="仿宋" w:hAnsi="仿宋" w:hint="eastAsia"/>
          <w:sz w:val="30"/>
          <w:szCs w:val="30"/>
        </w:rPr>
        <w:t>23年2月22日，召开三届董事会第十次会议（临时通讯会议），审议通过关于浙江宁泰国际海运有限公司授信方案（大额授信）的议案。</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（2）</w:t>
      </w:r>
      <w:r w:rsidRPr="000A3E79">
        <w:rPr>
          <w:rFonts w:ascii="仿宋" w:eastAsia="仿宋" w:hAnsi="仿宋"/>
          <w:sz w:val="30"/>
          <w:szCs w:val="30"/>
        </w:rPr>
        <w:t>20</w:t>
      </w:r>
      <w:r w:rsidRPr="000A3E79">
        <w:rPr>
          <w:rFonts w:ascii="仿宋" w:eastAsia="仿宋" w:hAnsi="仿宋" w:hint="eastAsia"/>
          <w:sz w:val="30"/>
          <w:szCs w:val="30"/>
        </w:rPr>
        <w:t>23年4月17日，召开三届董事会第十一次会议。审议通过普陀农村商业银行2022年工作总结及2023年工作计划、普陀农村商业银行2022年度信息披露报告、普陀农村商业银行2022年关联交易报告、普陀农村商业银行消费者权益保护2022年度工作报告、普陀农村商业银行2022年度主要股东评估报告、普陀农村商业银行2022年机构发展规划实施情况及2023年机构发展规划报告、普陀农村商业银行2022年外部审计报告、普陀农村商业银行2022年度反洗钱工作报告、普陀农村商业银行2022年资本充足率评估报告、普陀农村商业银行2022年度信息科技工作报告、普陀农村商业银行2022年呆帐核销情况报告、普陀农村商业银行2022年全面风险管理报告、普陀农村商业银行2022年度“三农”金融工作报告、普陀农村商业银行关于发行二级资本债的报告、关于提名陈保华为普陀农村商业银行三届董事会董事候选人的议案、关于聘任谢建成为普陀农村商业银行行长的议案、关于海创投资发展集团有限公司授信方案（大额授信）的议案。审议讨论了关于聘请2023年度外部审计机构的议案、普陀农村商业银行董事会2022年工作报告及2023年工作意见、普陀农村商业银行章</w:t>
      </w:r>
      <w:r w:rsidRPr="000A3E79">
        <w:rPr>
          <w:rFonts w:ascii="仿宋" w:eastAsia="仿宋" w:hAnsi="仿宋" w:hint="eastAsia"/>
          <w:sz w:val="30"/>
          <w:szCs w:val="30"/>
        </w:rPr>
        <w:lastRenderedPageBreak/>
        <w:t>程修订案、关于修订普陀农村商业银行股东大会议事规则的议案、关于修订普陀农村商业银行董事会议事规则的议案、关于修订普陀农村商业银行独立董事工作制度的议案、普陀农村商业银行2022年财务预算执行情况及2023年财务预算报告、普陀农村商业银行2022年度利润分配方案等。听取普陀农村商业银行2022年度业务运行、合规风险管理、安全运行、财务收支计划运行等报告。</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3）2023年5月19日，召开三届董事会第十二次会议，审议通过普陀农村商业银行经营管理层2023年1-4月份工作总结及二季度工作打算、普陀农村商业银行2022年高管薪酬执行情况及2023年计划安排、关于修订普陀农村商业银行薪酬管理办法的议案以及普陀农村商业银行反洗钱反恐怖融资管理办法、普陀农村商业银行预期信用损失法实施管理办法（试行）、普陀农村商业银行市场风险管理办法（试行）、普陀农村商业银行账簿利率风险管理办法、普陀农村商业银行2023年度风险偏好陈述书、普陀农村商业银行信息披露管理办法、关于普陀农村商业银行董事会授权董事长行使临时信息披露独立做出决定事项的议案，听取讨论2023年一季度业务运行、合规风险管理、安全运行、财务收支报告。</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（4）</w:t>
      </w:r>
      <w:r w:rsidRPr="000A3E79">
        <w:rPr>
          <w:rFonts w:ascii="仿宋" w:eastAsia="仿宋" w:hAnsi="仿宋"/>
          <w:sz w:val="30"/>
          <w:szCs w:val="30"/>
        </w:rPr>
        <w:t>20</w:t>
      </w:r>
      <w:r w:rsidRPr="000A3E79">
        <w:rPr>
          <w:rFonts w:ascii="仿宋" w:eastAsia="仿宋" w:hAnsi="仿宋" w:hint="eastAsia"/>
          <w:sz w:val="30"/>
          <w:szCs w:val="30"/>
        </w:rPr>
        <w:t>23年6月13日，召开三届董事会第十三次会议（临时通讯会议）。审议通过浙江企润食品有限公司授信方案（大额授信）议案。</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（5）2023年6月27日，召开三届董事会第十四次会议（临时通讯会议），审议通过舟山荣海顺食品授信方案（大额授信）议案。</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（6）</w:t>
      </w:r>
      <w:r w:rsidRPr="000A3E79">
        <w:rPr>
          <w:rFonts w:ascii="仿宋" w:eastAsia="仿宋" w:hAnsi="仿宋"/>
          <w:sz w:val="30"/>
          <w:szCs w:val="30"/>
        </w:rPr>
        <w:t>20</w:t>
      </w:r>
      <w:r w:rsidRPr="000A3E79">
        <w:rPr>
          <w:rFonts w:ascii="仿宋" w:eastAsia="仿宋" w:hAnsi="仿宋" w:hint="eastAsia"/>
          <w:sz w:val="30"/>
          <w:szCs w:val="30"/>
        </w:rPr>
        <w:t>23年7月27日，召开三届董事会第十五次会议。审议通过普陀农村商业银行经营管理层2023上半年工作总结及下半年工作打算、关于修订普陀农村商业银行薪酬管理办法的议案、关于普陀农村商业银行忠诚基金整改的议案、关于普陀农村商业银行股份有限公司负债质量管理办法的议案、关于浙江丰宇海洋生物制品有限公司授信方案（大额授信）的议案、关于浙江汇泽国际海运有限公司授信方案（大额授信）的议案，听取讨论2023年半年度业务运行、合规风险管理、财务收支计划、数字化改革、金融市场运行等报告。</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7）2023年9月1日，召开三届董事会第十六次会议（临时会议）。审议通过关于王云波辞去董事及副行长的议案、关于聘任刘坚军为普陀农村商业银行副行长的议案、关于调整普陀农村商业银行2023年机构发展规划的议案、普陀农村商业银行机构恢复与处置计划的议案。</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（8）2023年10月20日，召开三届董事会第十七次会议（临时通讯会议）。审议通过浙江恒晖海运有限公司授信方案（大额授信）议案。</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9）2023年11月11日，召开三届董事会第十八次会议。审议通过普陀农村商业银行经营管理层2023年前三季度工作报告及四季度工作计划、普陀农村商业银行关于2023年度大额授信基本授信的议案、普陀农村商业银行关于2023年度关联客户基本授信（重大关联交易）的议案、普陀农村商业银行关于2023年度同业业务基本授信的议案、关于舟山蓝枫置业发展有限公司授信方案（大额授信）的议案、关于2023年度财务预算调整计划的议案、关于聘任风险合规部总经理的议案、关于修订普陀农村商业银行战略发展委员会职责及议事规则的议案、关于修订普陀农村商业银行董事会关联交易控制委员会职责及议事规则的议案、关于修订普陀农村商业银行风险管理委员会职责及议事规则的议案、关于修订普陀农村商业银行消费者权益保护委员会职责及议事规则的议案、关于普陀农村商业银行消费者权益保护管理办法（修订稿）的议案、关于调整普陀农村商业银行三届董事会下属专业委员会成员的议案、普陀农村商业银行关于2022年度监管意见整改落实情况的报告，听取讨论2023年三季度业务运行、合规风险管理、财务收支计划、数字化改革、金融市场运行等报告。</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（10）</w:t>
      </w:r>
      <w:r w:rsidRPr="000A3E79">
        <w:rPr>
          <w:rFonts w:ascii="仿宋" w:eastAsia="仿宋" w:hAnsi="仿宋"/>
          <w:sz w:val="30"/>
          <w:szCs w:val="30"/>
        </w:rPr>
        <w:t>20</w:t>
      </w:r>
      <w:r w:rsidRPr="000A3E79">
        <w:rPr>
          <w:rFonts w:ascii="仿宋" w:eastAsia="仿宋" w:hAnsi="仿宋" w:hint="eastAsia"/>
          <w:sz w:val="30"/>
          <w:szCs w:val="30"/>
        </w:rPr>
        <w:t>23年</w:t>
      </w:r>
      <w:r w:rsidRPr="000A3E79">
        <w:rPr>
          <w:rFonts w:ascii="仿宋" w:eastAsia="仿宋" w:hAnsi="仿宋"/>
          <w:sz w:val="30"/>
          <w:szCs w:val="30"/>
        </w:rPr>
        <w:t>1</w:t>
      </w:r>
      <w:r w:rsidRPr="000A3E79">
        <w:rPr>
          <w:rFonts w:ascii="仿宋" w:eastAsia="仿宋" w:hAnsi="仿宋" w:hint="eastAsia"/>
          <w:sz w:val="30"/>
          <w:szCs w:val="30"/>
        </w:rPr>
        <w:t>2月30日，召开三届董事会第十九次会议（临时通讯会议）。审议通过关于浙江华禹航运发展有限公司追加授信5000万元（大额授信）的议案、关于浙江骏华船务有限公司追加授信6000万元（大额授信）的议案、关于浙江凯顺海运有限公司追加授信4500万元（大额授信）的议案、关于舟山和兴船务有限公司追加授信5000</w:t>
      </w:r>
      <w:r w:rsidRPr="000A3E79">
        <w:rPr>
          <w:rFonts w:ascii="仿宋" w:eastAsia="仿宋" w:hAnsi="仿宋" w:hint="eastAsia"/>
          <w:sz w:val="30"/>
          <w:szCs w:val="30"/>
        </w:rPr>
        <w:lastRenderedPageBreak/>
        <w:t>万元（大额授信）的议案、关于舟山市凯星贸易有限公司追加授信10000万元（大额授信）的议案、关于舟山双屿水务有限公司追加授信4980万元（大额授信）的议案；</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5.专业委员会工作情况。本行董事会下设六个专业委员会，分别为战略发展委员会（“三农”服务委员会）、风险管理委员会、提名与薪酬委员会、关联交易控制委员会、审计委员会、消费者权益保护委员会。2023年，本行按照《银行保险机构公司治理准则》和监管要求，修订完善了董事会下属部分专业委员会职责及议事规则，优化调整了相关委员会成员。目前，战略发展委员会（“三农”服务委员会）、风险管理委员会主任委员由董事长担任，提名与薪酬委员会、关联交易控制委员会、审计委员会主任委员由独立董事担任，消费者权益保护委员会主任委员由行长担任。同时，其他外部董事全部进入各专业委员会担任委员，独立董事占比等符合监管要求，各专业委员会运作更加精简高效，符合法人治理相关监管要求。2023年，各专业委员会按工作职责和议事规则，按时召开会议，审议相关事项，其中：战略发展委员会（“三农”服务委员会）共召开2次会议，风险管理委员会召开10次会议（包括风险管理小组会议），提名与薪酬委员会召开3次会议，关联交易控制委员会召开17次会议，审计委员会召开2次会议，消费者权益保护委员会议2次。</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（五）监事会</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1.监事会职责。监事会是本行的监督机构，对股东大会负责。行使以下职权：</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（1）监督董事会、高级管理人员履行职责情况；</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（2）当董事、高级管理人员的行为损害本行的利益时，要求董事、高级管理人员予以纠正；</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（3）根据需要，对董事和高级管理人员进行专项审计和离任审计；</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（4）检查监督本行的财务管理和活动；</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（5）对本行的经营决策、风险管理和内部控制等进行审计并指导本行内部审计工作；</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（6）对董事、董事长及高级管理人员进行质询；</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（7）其他法律法规、行政规章及本章程规定应当由监事会行使的职权。</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2.监事会人员构成及简历</w:t>
      </w:r>
    </w:p>
    <w:p w:rsidR="00BA3138" w:rsidRPr="000A3E79" w:rsidRDefault="00BA3138" w:rsidP="00BA3138">
      <w:pPr>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本行监事会由7名监事组成，其中职工监事3名，非职工监事4名。监事会成员具体情况如下：</w:t>
      </w:r>
    </w:p>
    <w:tbl>
      <w:tblPr>
        <w:tblW w:w="0" w:type="auto"/>
        <w:tblBorders>
          <w:top w:val="single" w:sz="4" w:space="0" w:color="auto"/>
          <w:bottom w:val="single" w:sz="4" w:space="0" w:color="auto"/>
          <w:insideV w:val="single" w:sz="4" w:space="0" w:color="auto"/>
        </w:tblBorders>
        <w:tblLayout w:type="fixed"/>
        <w:tblLook w:val="0000"/>
      </w:tblPr>
      <w:tblGrid>
        <w:gridCol w:w="770"/>
        <w:gridCol w:w="1024"/>
        <w:gridCol w:w="1526"/>
        <w:gridCol w:w="4565"/>
        <w:gridCol w:w="1277"/>
      </w:tblGrid>
      <w:tr w:rsidR="00BA3138" w:rsidRPr="006C6E50" w:rsidTr="00025338">
        <w:tc>
          <w:tcPr>
            <w:tcW w:w="770"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序号</w:t>
            </w:r>
          </w:p>
        </w:tc>
        <w:tc>
          <w:tcPr>
            <w:tcW w:w="1024"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姓  名</w:t>
            </w:r>
          </w:p>
        </w:tc>
        <w:tc>
          <w:tcPr>
            <w:tcW w:w="1526"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性  质</w:t>
            </w:r>
          </w:p>
        </w:tc>
        <w:tc>
          <w:tcPr>
            <w:tcW w:w="4565"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主要职务</w:t>
            </w:r>
          </w:p>
        </w:tc>
        <w:tc>
          <w:tcPr>
            <w:tcW w:w="1277"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学历学位</w:t>
            </w:r>
          </w:p>
        </w:tc>
      </w:tr>
      <w:tr w:rsidR="00BA3138" w:rsidRPr="006C6E50" w:rsidTr="00025338">
        <w:tc>
          <w:tcPr>
            <w:tcW w:w="770"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1</w:t>
            </w:r>
          </w:p>
        </w:tc>
        <w:tc>
          <w:tcPr>
            <w:tcW w:w="1024"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郑文波</w:t>
            </w:r>
          </w:p>
        </w:tc>
        <w:tc>
          <w:tcPr>
            <w:tcW w:w="1526"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职工监事</w:t>
            </w:r>
          </w:p>
        </w:tc>
        <w:tc>
          <w:tcPr>
            <w:tcW w:w="4565"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普陀农村商业银行纪委书记、监事长</w:t>
            </w:r>
          </w:p>
        </w:tc>
        <w:tc>
          <w:tcPr>
            <w:tcW w:w="1277" w:type="dxa"/>
            <w:tcBorders>
              <w:top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研究生</w:t>
            </w:r>
          </w:p>
        </w:tc>
      </w:tr>
      <w:tr w:rsidR="00BA3138" w:rsidRPr="006C6E50" w:rsidTr="00025338">
        <w:tc>
          <w:tcPr>
            <w:tcW w:w="77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2</w:t>
            </w:r>
          </w:p>
        </w:tc>
        <w:tc>
          <w:tcPr>
            <w:tcW w:w="1024"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傅爱光</w:t>
            </w:r>
          </w:p>
        </w:tc>
        <w:tc>
          <w:tcPr>
            <w:tcW w:w="1526"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职工监事</w:t>
            </w:r>
          </w:p>
        </w:tc>
        <w:tc>
          <w:tcPr>
            <w:tcW w:w="4565"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普陀农村商业银行审计部总经理</w:t>
            </w:r>
          </w:p>
        </w:tc>
        <w:tc>
          <w:tcPr>
            <w:tcW w:w="1277"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7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3</w:t>
            </w:r>
          </w:p>
        </w:tc>
        <w:tc>
          <w:tcPr>
            <w:tcW w:w="1024"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翁晓云</w:t>
            </w:r>
          </w:p>
        </w:tc>
        <w:tc>
          <w:tcPr>
            <w:tcW w:w="1526"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职工监事</w:t>
            </w:r>
          </w:p>
        </w:tc>
        <w:tc>
          <w:tcPr>
            <w:tcW w:w="4565"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普陀农村商业银行纪检办公室员工</w:t>
            </w:r>
          </w:p>
        </w:tc>
        <w:tc>
          <w:tcPr>
            <w:tcW w:w="1277"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7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4</w:t>
            </w:r>
          </w:p>
        </w:tc>
        <w:tc>
          <w:tcPr>
            <w:tcW w:w="1024"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叶海静</w:t>
            </w:r>
          </w:p>
        </w:tc>
        <w:tc>
          <w:tcPr>
            <w:tcW w:w="1526"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股东监事</w:t>
            </w:r>
          </w:p>
        </w:tc>
        <w:tc>
          <w:tcPr>
            <w:tcW w:w="4565"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舟山金增农贸发展有限公司法人代表兼总经理</w:t>
            </w:r>
          </w:p>
        </w:tc>
        <w:tc>
          <w:tcPr>
            <w:tcW w:w="1277"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大专</w:t>
            </w:r>
          </w:p>
        </w:tc>
      </w:tr>
      <w:tr w:rsidR="00BA3138" w:rsidRPr="006C6E50" w:rsidTr="00025338">
        <w:tc>
          <w:tcPr>
            <w:tcW w:w="77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5</w:t>
            </w:r>
          </w:p>
        </w:tc>
        <w:tc>
          <w:tcPr>
            <w:tcW w:w="1024"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翁永妙</w:t>
            </w:r>
          </w:p>
        </w:tc>
        <w:tc>
          <w:tcPr>
            <w:tcW w:w="1526"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股东监事</w:t>
            </w:r>
          </w:p>
        </w:tc>
        <w:tc>
          <w:tcPr>
            <w:tcW w:w="4565"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浙江鑫旺食品有限公司总经理</w:t>
            </w:r>
          </w:p>
        </w:tc>
        <w:tc>
          <w:tcPr>
            <w:tcW w:w="1277"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高中</w:t>
            </w:r>
          </w:p>
        </w:tc>
      </w:tr>
      <w:tr w:rsidR="00BA3138" w:rsidRPr="006C6E50" w:rsidTr="00025338">
        <w:tc>
          <w:tcPr>
            <w:tcW w:w="77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6</w:t>
            </w:r>
          </w:p>
        </w:tc>
        <w:tc>
          <w:tcPr>
            <w:tcW w:w="1024"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张舟杰</w:t>
            </w:r>
          </w:p>
        </w:tc>
        <w:tc>
          <w:tcPr>
            <w:tcW w:w="1526"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外部监事</w:t>
            </w:r>
          </w:p>
        </w:tc>
        <w:tc>
          <w:tcPr>
            <w:tcW w:w="4565"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舟山市华泽水产食品有限公司总经理</w:t>
            </w:r>
          </w:p>
        </w:tc>
        <w:tc>
          <w:tcPr>
            <w:tcW w:w="1277"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本科</w:t>
            </w:r>
          </w:p>
        </w:tc>
      </w:tr>
      <w:tr w:rsidR="00BA3138" w:rsidRPr="006C6E50" w:rsidTr="00025338">
        <w:tc>
          <w:tcPr>
            <w:tcW w:w="770"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7</w:t>
            </w:r>
          </w:p>
        </w:tc>
        <w:tc>
          <w:tcPr>
            <w:tcW w:w="1024"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庄燕</w:t>
            </w:r>
          </w:p>
        </w:tc>
        <w:tc>
          <w:tcPr>
            <w:tcW w:w="1526"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外部监事</w:t>
            </w:r>
          </w:p>
        </w:tc>
        <w:tc>
          <w:tcPr>
            <w:tcW w:w="4565"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沈家门街道蒲湾村主任、社长</w:t>
            </w:r>
          </w:p>
        </w:tc>
        <w:tc>
          <w:tcPr>
            <w:tcW w:w="1277" w:type="dxa"/>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大专</w:t>
            </w:r>
          </w:p>
        </w:tc>
      </w:tr>
    </w:tbl>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郑文波，男，1969年5月出生，本科学历，会计师、经济师、工程师职称，2021年11月起任普陀农村商业银行纪委书记、监事长。</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傅爱光，男，1973年4月出生，本科学历，会计师职称，现为普陀农村商业银行审计部总经理，2021年11月起任本行监事会监事。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翁晓云，女，1975年10月出生，本科学历，经济师职称，现为普陀农村商业银行纪检办员工，2021年11月起任本行监事会监事。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叶海静，女，1967年4月出生，中专学历，现任舟山市金增农贸发展有限公司法人代表兼总经理。2021年4月至今任普陀农村商业银行监事。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翁永妙，男，1965年9月出生，高中学历，现任浙江鑫旺食品有限公司总经理。2013年9月至今任普陀农村商业银行监事。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张舟杰，男，1984年1月出生，本科学历，现任舟山市华泽水产食品有限公司总经理。2021年11月至今任普陀农村商业银行监事会监事。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庄燕，女，1977年11月出生，大专学历，现任舟山市普陀区沈家门街道蒲湾村主任、社长。2023年6月至今任普陀农村商业银行监事会监事。</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lastRenderedPageBreak/>
        <w:t>3、非职工监事（股东监事、外部监事）履职情况</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翁永妙，2023年出席监事会会议3次，委托1次。一年来该监事严格执行法律法规及本行章程相关规定，积极履行监督职责，全年履职天数16天，提出均衡存款结构、增加获客渠道、优化信贷投放、有序压降大额贷款、强化集团客户授信管理等意见建议4条。</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叶海静，2023年出席监事会会议4次。一年来严格执行法律法规及本行章程相关规定，积极履行监督职责，全年履职天数18天，提出关注海运业大额贷款发放、加大风险防控、做好风险偏好监测分析、运用差异化贷款利率定价、加大财务精细化管理等意见建议4条。</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张舟杰，2023年出席监事会会议4次。一年来严格执行法律法规及本行章程相关规定，积极履行监督职责，全年履职天数18天，提出重视消费者保护工作、关注企业经营真实性和交易合理性、规范抵押物评估、加强数字场景建设及推广、强化安全生产管理等意见建议5条。</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庄燕，2023年6月任本行三届监事会监事来，参加监事会3次，会议出席率100%。一年来严格执行法律法规及本行章程相关规定，积极履行监督职责，全年履职天数15天，提出深化党建+金融作用、提升员工职业道德素养、提高反洗钱意识和专业能力等意见建议3条。</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4.监事会召开情况。本行监事会2023年度共召开监事会会议4次，具体为：</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1）2023年4月7日，召开三届第六次监事会，审议《普陀农村商业银行监事会2023年度工作报告》、《普陀农村商业银行2022年度“两会一层”成员履职评价报告》等议案22个，讨论听取普陀农村商业银行经营管理层2022年工作报告及2023年工作计划、关于聘任谢建成为普陀农村商业银行行长的议案和普陀农村商业银行2022年度业务运行分析报告、财务收支计划运行情况报告、数字化改革工作报告、资金财富业务分析报告等报告6个。</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（2）2023年5月18日，召开三届第七次监事会，审议《普陀农村商业银行2022年高管薪酬执行情况及2023年计划安排的议案》、《普</w:t>
      </w:r>
      <w:r w:rsidRPr="000A3E79">
        <w:rPr>
          <w:rFonts w:ascii="仿宋" w:eastAsia="仿宋" w:hAnsi="仿宋" w:hint="eastAsia"/>
          <w:sz w:val="30"/>
          <w:szCs w:val="30"/>
        </w:rPr>
        <w:lastRenderedPageBreak/>
        <w:t>陀农村商业银行薪酬管理办法（修订稿）》等议案7个，讨论听取《普陀农村商业银行经营管理层2023年1-4月份工作总结及二季度工作打算》、普陀农村商业银行2022年一季度业务运行分析、数字化转型工作等报告6个。</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3）2023年7月27日，召开三届第八次监事会，审议《关于修订普陀农村商业银行薪酬管理办法的议案》、《关于普陀农村商业银行忠诚基金清理转化方案的议案》、《普陀农村商业银行授信管理办法》等议案5项；听取讨论普陀农村商业银行经营管理层2023上半年工作总结及下半年工作打算、普陀农村商业银行2023年上半年业务运行分析报告和风险运行报告、财务收支计划运行情况报告、数字化转型工作报告、资金财富业务分析报告》等报告6个。</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4）2023年11月11日，召开三届第九次监事会，审议《普陀农村商业银行2023年度大额授信客户基本授信的议案》、《普陀农村商业银行2023年度关联客户基本授信（重大关联交易）的议案》等决议5项；听取讨论普陀农村商业银行经营管理层2023年前三季度工作报告及四季度工作计划和普陀农村商业银行2023年前三季度业务运行、财务收支计划、合规风险管理、数字改革、资金财富业务分析等工作报告等报告6个。</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（六）</w:t>
      </w:r>
      <w:r w:rsidRPr="000A3E79">
        <w:rPr>
          <w:rFonts w:ascii="仿宋" w:eastAsia="仿宋" w:hAnsi="仿宋"/>
          <w:sz w:val="30"/>
          <w:szCs w:val="30"/>
        </w:rPr>
        <w:t>高级管理层</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1.职责。本行高级管理层依照法律法规、本行章程规定及董事会授权开展经营管理活动，组织实施董事会决议，接受监事会的监督。</w:t>
      </w:r>
    </w:p>
    <w:p w:rsidR="00BA3138" w:rsidRPr="000A3E79" w:rsidRDefault="00BA3138" w:rsidP="00BA3138">
      <w:pPr>
        <w:tabs>
          <w:tab w:val="left" w:pos="1900"/>
        </w:tabs>
        <w:spacing w:line="480" w:lineRule="exact"/>
        <w:ind w:firstLineChars="200" w:firstLine="600"/>
        <w:rPr>
          <w:rFonts w:ascii="仿宋" w:eastAsia="仿宋" w:hAnsi="仿宋"/>
          <w:sz w:val="30"/>
          <w:szCs w:val="30"/>
        </w:rPr>
      </w:pPr>
      <w:r w:rsidRPr="000A3E79">
        <w:rPr>
          <w:rFonts w:ascii="仿宋" w:eastAsia="仿宋" w:hAnsi="仿宋" w:hint="eastAsia"/>
          <w:sz w:val="30"/>
          <w:szCs w:val="30"/>
        </w:rPr>
        <w:t>2.人员构成。本行三届董事会聘任谢建成本行行长，陈晓、刘坚军为副行长。</w:t>
      </w:r>
    </w:p>
    <w:p w:rsidR="00BA3138" w:rsidRPr="00543288" w:rsidRDefault="00BA3138" w:rsidP="00BA3138">
      <w:pPr>
        <w:spacing w:line="500" w:lineRule="exact"/>
        <w:rPr>
          <w:rFonts w:ascii="宋体" w:hAnsi="宋体"/>
          <w:b/>
          <w:sz w:val="24"/>
        </w:rPr>
      </w:pPr>
      <w:r w:rsidRPr="00543288">
        <w:rPr>
          <w:rFonts w:ascii="宋体" w:hAnsi="宋体" w:hint="eastAsia"/>
          <w:b/>
          <w:sz w:val="24"/>
        </w:rPr>
        <w:t>经营管理层人员构成</w:t>
      </w:r>
    </w:p>
    <w:tbl>
      <w:tblPr>
        <w:tblW w:w="0" w:type="auto"/>
        <w:tblBorders>
          <w:top w:val="single" w:sz="4" w:space="0" w:color="auto"/>
          <w:bottom w:val="single" w:sz="4" w:space="0" w:color="auto"/>
          <w:insideV w:val="single" w:sz="4" w:space="0" w:color="auto"/>
        </w:tblBorders>
        <w:tblLayout w:type="fixed"/>
        <w:tblLook w:val="0000"/>
      </w:tblPr>
      <w:tblGrid>
        <w:gridCol w:w="828"/>
        <w:gridCol w:w="1079"/>
        <w:gridCol w:w="2520"/>
        <w:gridCol w:w="3601"/>
        <w:gridCol w:w="1134"/>
      </w:tblGrid>
      <w:tr w:rsidR="00BA3138" w:rsidRPr="006C6E50" w:rsidTr="00025338">
        <w:trPr>
          <w:trHeight w:val="453"/>
        </w:trPr>
        <w:tc>
          <w:tcPr>
            <w:tcW w:w="828" w:type="dxa"/>
            <w:tcBorders>
              <w:top w:val="single" w:sz="4" w:space="0" w:color="auto"/>
              <w:bottom w:val="single" w:sz="4" w:space="0" w:color="auto"/>
            </w:tcBorders>
            <w:vAlign w:val="center"/>
          </w:tcPr>
          <w:p w:rsidR="00BA3138" w:rsidRPr="006C6E50" w:rsidRDefault="00BA3138" w:rsidP="00025338">
            <w:pPr>
              <w:jc w:val="center"/>
              <w:rPr>
                <w:rFonts w:ascii="宋体" w:hAnsi="宋体"/>
                <w:sz w:val="18"/>
                <w:szCs w:val="18"/>
              </w:rPr>
            </w:pPr>
            <w:r w:rsidRPr="006C6E50">
              <w:rPr>
                <w:rFonts w:ascii="宋体" w:hAnsi="宋体" w:hint="eastAsia"/>
                <w:sz w:val="18"/>
                <w:szCs w:val="18"/>
              </w:rPr>
              <w:t>序号</w:t>
            </w:r>
          </w:p>
        </w:tc>
        <w:tc>
          <w:tcPr>
            <w:tcW w:w="1079" w:type="dxa"/>
            <w:tcBorders>
              <w:top w:val="single" w:sz="4" w:space="0" w:color="auto"/>
              <w:bottom w:val="single" w:sz="4" w:space="0" w:color="auto"/>
            </w:tcBorders>
            <w:vAlign w:val="center"/>
          </w:tcPr>
          <w:p w:rsidR="00BA3138" w:rsidRPr="006C6E50" w:rsidRDefault="00BA3138" w:rsidP="00025338">
            <w:pPr>
              <w:jc w:val="center"/>
              <w:rPr>
                <w:rFonts w:ascii="宋体" w:hAnsi="宋体"/>
                <w:sz w:val="18"/>
                <w:szCs w:val="18"/>
              </w:rPr>
            </w:pPr>
            <w:r w:rsidRPr="006C6E50">
              <w:rPr>
                <w:rFonts w:ascii="宋体" w:hAnsi="宋体" w:hint="eastAsia"/>
                <w:sz w:val="18"/>
                <w:szCs w:val="18"/>
              </w:rPr>
              <w:t>姓</w:t>
            </w:r>
            <w:r w:rsidRPr="006C6E50">
              <w:rPr>
                <w:rFonts w:ascii="宋体" w:hAnsi="宋体"/>
                <w:sz w:val="18"/>
                <w:szCs w:val="18"/>
              </w:rPr>
              <w:t xml:space="preserve">  </w:t>
            </w:r>
            <w:r w:rsidRPr="006C6E50">
              <w:rPr>
                <w:rFonts w:ascii="宋体" w:hAnsi="宋体" w:hint="eastAsia"/>
                <w:sz w:val="18"/>
                <w:szCs w:val="18"/>
              </w:rPr>
              <w:t>名</w:t>
            </w:r>
          </w:p>
        </w:tc>
        <w:tc>
          <w:tcPr>
            <w:tcW w:w="2520" w:type="dxa"/>
            <w:tcBorders>
              <w:top w:val="single" w:sz="4" w:space="0" w:color="auto"/>
              <w:bottom w:val="single" w:sz="4" w:space="0" w:color="auto"/>
            </w:tcBorders>
            <w:vAlign w:val="center"/>
          </w:tcPr>
          <w:p w:rsidR="00BA3138" w:rsidRPr="006C6E50" w:rsidRDefault="00BA3138" w:rsidP="00025338">
            <w:pPr>
              <w:jc w:val="center"/>
              <w:rPr>
                <w:rFonts w:ascii="宋体" w:hAnsi="宋体"/>
                <w:sz w:val="18"/>
                <w:szCs w:val="18"/>
              </w:rPr>
            </w:pPr>
            <w:r w:rsidRPr="006C6E50">
              <w:rPr>
                <w:rFonts w:ascii="宋体" w:hAnsi="宋体" w:hint="eastAsia"/>
                <w:sz w:val="18"/>
                <w:szCs w:val="18"/>
              </w:rPr>
              <w:t>职</w:t>
            </w:r>
            <w:r w:rsidRPr="006C6E50">
              <w:rPr>
                <w:rFonts w:ascii="宋体" w:hAnsi="宋体"/>
                <w:sz w:val="18"/>
                <w:szCs w:val="18"/>
              </w:rPr>
              <w:t xml:space="preserve">   </w:t>
            </w:r>
            <w:r w:rsidRPr="006C6E50">
              <w:rPr>
                <w:rFonts w:ascii="宋体" w:hAnsi="宋体" w:hint="eastAsia"/>
                <w:sz w:val="18"/>
                <w:szCs w:val="18"/>
              </w:rPr>
              <w:t>务</w:t>
            </w:r>
          </w:p>
        </w:tc>
        <w:tc>
          <w:tcPr>
            <w:tcW w:w="3601" w:type="dxa"/>
            <w:tcBorders>
              <w:top w:val="single" w:sz="4" w:space="0" w:color="auto"/>
              <w:bottom w:val="single" w:sz="4" w:space="0" w:color="auto"/>
            </w:tcBorders>
            <w:vAlign w:val="center"/>
          </w:tcPr>
          <w:p w:rsidR="00BA3138" w:rsidRPr="006C6E50" w:rsidRDefault="00BA3138" w:rsidP="00025338">
            <w:pPr>
              <w:jc w:val="center"/>
              <w:rPr>
                <w:rFonts w:ascii="宋体" w:hAnsi="宋体"/>
                <w:sz w:val="18"/>
                <w:szCs w:val="18"/>
              </w:rPr>
            </w:pPr>
            <w:r w:rsidRPr="006C6E50">
              <w:rPr>
                <w:rFonts w:ascii="宋体" w:hAnsi="宋体" w:hint="eastAsia"/>
                <w:sz w:val="18"/>
                <w:szCs w:val="18"/>
              </w:rPr>
              <w:t>分管领域</w:t>
            </w:r>
          </w:p>
        </w:tc>
        <w:tc>
          <w:tcPr>
            <w:tcW w:w="1134" w:type="dxa"/>
            <w:tcBorders>
              <w:top w:val="single" w:sz="4" w:space="0" w:color="auto"/>
              <w:bottom w:val="single" w:sz="4" w:space="0" w:color="auto"/>
            </w:tcBorders>
            <w:vAlign w:val="center"/>
          </w:tcPr>
          <w:p w:rsidR="00BA3138" w:rsidRPr="006C6E50" w:rsidRDefault="00BA3138" w:rsidP="00025338">
            <w:pPr>
              <w:rPr>
                <w:rFonts w:ascii="宋体" w:hAnsi="宋体"/>
                <w:sz w:val="18"/>
                <w:szCs w:val="18"/>
              </w:rPr>
            </w:pPr>
            <w:r w:rsidRPr="006C6E50">
              <w:rPr>
                <w:rFonts w:ascii="宋体" w:hAnsi="宋体" w:hint="eastAsia"/>
                <w:sz w:val="18"/>
                <w:szCs w:val="18"/>
              </w:rPr>
              <w:t>学历学位</w:t>
            </w:r>
          </w:p>
        </w:tc>
      </w:tr>
      <w:tr w:rsidR="00BA3138" w:rsidRPr="006C6E50" w:rsidTr="00025338">
        <w:tc>
          <w:tcPr>
            <w:tcW w:w="828" w:type="dxa"/>
            <w:tcBorders>
              <w:top w:val="single" w:sz="4" w:space="0" w:color="auto"/>
            </w:tcBorders>
            <w:vAlign w:val="center"/>
          </w:tcPr>
          <w:p w:rsidR="00BA3138" w:rsidRPr="006C6E50" w:rsidRDefault="00BA3138" w:rsidP="00025338">
            <w:pPr>
              <w:spacing w:line="400" w:lineRule="exact"/>
              <w:rPr>
                <w:rFonts w:ascii="宋体" w:hAnsi="宋体"/>
                <w:sz w:val="18"/>
                <w:szCs w:val="18"/>
              </w:rPr>
            </w:pPr>
            <w:r w:rsidRPr="006C6E50">
              <w:rPr>
                <w:rFonts w:ascii="宋体" w:hAnsi="宋体"/>
                <w:sz w:val="18"/>
                <w:szCs w:val="18"/>
              </w:rPr>
              <w:t>1</w:t>
            </w:r>
          </w:p>
        </w:tc>
        <w:tc>
          <w:tcPr>
            <w:tcW w:w="1079" w:type="dxa"/>
            <w:tcBorders>
              <w:top w:val="single" w:sz="4" w:space="0" w:color="auto"/>
            </w:tcBorders>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谢建成</w:t>
            </w:r>
          </w:p>
        </w:tc>
        <w:tc>
          <w:tcPr>
            <w:tcW w:w="2520" w:type="dxa"/>
            <w:tcBorders>
              <w:top w:val="single" w:sz="4" w:space="0" w:color="auto"/>
            </w:tcBorders>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普陀农村商业银行行长</w:t>
            </w:r>
          </w:p>
        </w:tc>
        <w:tc>
          <w:tcPr>
            <w:tcW w:w="3601" w:type="dxa"/>
            <w:tcBorders>
              <w:top w:val="single" w:sz="4" w:space="0" w:color="auto"/>
            </w:tcBorders>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主持日常经营管理各项工作，负责发展规划、风险合规、计划财务、金融科技，分管计划财务部、风险合规部、金融科技部。</w:t>
            </w:r>
          </w:p>
        </w:tc>
        <w:tc>
          <w:tcPr>
            <w:tcW w:w="1134" w:type="dxa"/>
            <w:tcBorders>
              <w:top w:val="single" w:sz="4" w:space="0" w:color="auto"/>
            </w:tcBorders>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本科</w:t>
            </w:r>
          </w:p>
        </w:tc>
      </w:tr>
      <w:tr w:rsidR="00BA3138" w:rsidRPr="006C6E50" w:rsidTr="00025338">
        <w:trPr>
          <w:trHeight w:val="70"/>
        </w:trPr>
        <w:tc>
          <w:tcPr>
            <w:tcW w:w="828" w:type="dxa"/>
            <w:vAlign w:val="center"/>
          </w:tcPr>
          <w:p w:rsidR="00BA3138" w:rsidRPr="006C6E50" w:rsidRDefault="00BA3138" w:rsidP="00025338">
            <w:pPr>
              <w:spacing w:line="400" w:lineRule="exact"/>
              <w:rPr>
                <w:rFonts w:ascii="宋体" w:hAnsi="宋体"/>
                <w:sz w:val="18"/>
                <w:szCs w:val="18"/>
              </w:rPr>
            </w:pPr>
            <w:r w:rsidRPr="006C6E50">
              <w:rPr>
                <w:rFonts w:ascii="宋体" w:hAnsi="宋体"/>
                <w:sz w:val="18"/>
                <w:szCs w:val="18"/>
              </w:rPr>
              <w:t>2</w:t>
            </w:r>
          </w:p>
        </w:tc>
        <w:tc>
          <w:tcPr>
            <w:tcW w:w="1079"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陈晓</w:t>
            </w:r>
          </w:p>
        </w:tc>
        <w:tc>
          <w:tcPr>
            <w:tcW w:w="2520"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普陀农村商业银行副行长</w:t>
            </w:r>
          </w:p>
        </w:tc>
        <w:tc>
          <w:tcPr>
            <w:tcW w:w="3601"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负责综合行政、消费者权益保护、公司金融、</w:t>
            </w:r>
            <w:r w:rsidRPr="006C6E50">
              <w:rPr>
                <w:rFonts w:ascii="宋体" w:hAnsi="宋体" w:hint="eastAsia"/>
                <w:sz w:val="18"/>
                <w:szCs w:val="18"/>
              </w:rPr>
              <w:lastRenderedPageBreak/>
              <w:t>普惠金融、金融市场、国际业务。分管办公室、业务发展与管理部、金融市场部、国际业务部。</w:t>
            </w:r>
          </w:p>
        </w:tc>
        <w:tc>
          <w:tcPr>
            <w:tcW w:w="1134"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lastRenderedPageBreak/>
              <w:t>本科</w:t>
            </w:r>
          </w:p>
        </w:tc>
      </w:tr>
      <w:tr w:rsidR="00BA3138" w:rsidRPr="006C6E50" w:rsidTr="00025338">
        <w:trPr>
          <w:trHeight w:val="1367"/>
        </w:trPr>
        <w:tc>
          <w:tcPr>
            <w:tcW w:w="828"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lastRenderedPageBreak/>
              <w:t>3</w:t>
            </w:r>
          </w:p>
        </w:tc>
        <w:tc>
          <w:tcPr>
            <w:tcW w:w="1079"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刘坚军</w:t>
            </w:r>
          </w:p>
          <w:p w:rsidR="00BA3138" w:rsidRPr="006C6E50" w:rsidRDefault="00BA3138" w:rsidP="00025338">
            <w:pPr>
              <w:spacing w:line="400" w:lineRule="exact"/>
              <w:rPr>
                <w:rFonts w:ascii="宋体" w:hAnsi="宋体"/>
                <w:sz w:val="18"/>
                <w:szCs w:val="18"/>
              </w:rPr>
            </w:pPr>
          </w:p>
        </w:tc>
        <w:tc>
          <w:tcPr>
            <w:tcW w:w="2520"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普陀农村商业银行副行长</w:t>
            </w:r>
          </w:p>
          <w:p w:rsidR="00BA3138" w:rsidRPr="006C6E50" w:rsidRDefault="00BA3138" w:rsidP="00025338">
            <w:pPr>
              <w:spacing w:line="400" w:lineRule="exact"/>
              <w:rPr>
                <w:rFonts w:ascii="宋体" w:hAnsi="宋体"/>
                <w:sz w:val="18"/>
                <w:szCs w:val="18"/>
              </w:rPr>
            </w:pPr>
          </w:p>
        </w:tc>
        <w:tc>
          <w:tcPr>
            <w:tcW w:w="3601"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负责人力资源管理、后勤保障、零售金融、运营管理及工会、妇联、团委工作，协管财务工作。分管人力资源部、运营业管理部。协管办公室、业务发展与管理部、计划财务部。</w:t>
            </w:r>
          </w:p>
        </w:tc>
        <w:tc>
          <w:tcPr>
            <w:tcW w:w="1134" w:type="dxa"/>
            <w:vAlign w:val="center"/>
          </w:tcPr>
          <w:p w:rsidR="00BA3138" w:rsidRPr="006C6E50" w:rsidRDefault="00BA3138" w:rsidP="00025338">
            <w:pPr>
              <w:spacing w:line="400" w:lineRule="exact"/>
              <w:rPr>
                <w:rFonts w:ascii="宋体" w:hAnsi="宋体"/>
                <w:sz w:val="18"/>
                <w:szCs w:val="18"/>
              </w:rPr>
            </w:pPr>
            <w:r w:rsidRPr="006C6E50">
              <w:rPr>
                <w:rFonts w:ascii="宋体" w:hAnsi="宋体" w:hint="eastAsia"/>
                <w:sz w:val="18"/>
                <w:szCs w:val="18"/>
              </w:rPr>
              <w:t>本科</w:t>
            </w:r>
          </w:p>
        </w:tc>
      </w:tr>
    </w:tbl>
    <w:p w:rsidR="00BA3138" w:rsidRPr="00727D40" w:rsidRDefault="00BA3138" w:rsidP="00BA3138">
      <w:pPr>
        <w:tabs>
          <w:tab w:val="left" w:pos="1900"/>
        </w:tabs>
        <w:spacing w:line="500" w:lineRule="exact"/>
        <w:ind w:firstLineChars="200" w:firstLine="600"/>
        <w:rPr>
          <w:rFonts w:ascii="仿宋" w:eastAsia="仿宋" w:hAnsi="仿宋"/>
          <w:sz w:val="30"/>
          <w:szCs w:val="30"/>
        </w:rPr>
      </w:pPr>
      <w:r w:rsidRPr="00727D40">
        <w:rPr>
          <w:rFonts w:ascii="仿宋" w:eastAsia="仿宋" w:hAnsi="仿宋" w:hint="eastAsia"/>
          <w:sz w:val="30"/>
          <w:szCs w:val="30"/>
        </w:rPr>
        <w:t>2023年，本行经营管理层认真贯彻落实董事会工作部署和各项决策，坚持稳中求进工作总基调，围绕“稳进提质，强基增效”工作主线，聚焦重点工作，紧扣服务三个“一号工程”、服务共同富裕和乡村振兴、服务实体经济等大事要事，通过深入开展“助力共富年”活动和“155”行动等载体，坚定不移服务地方经济，久久为功加快改革创新，全面推进业务转型发展，全力以赴做好风险防控，持之以恒加强干部队伍建设，推动了各项业务平稳健康发展，较好完成了董事会确定的2023年主要经营目标任务。</w:t>
      </w: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hint="eastAsia"/>
          <w:sz w:val="30"/>
          <w:szCs w:val="30"/>
        </w:rPr>
        <w:t>（七）薪酬制度及董事、监事、高级管理人员薪酬情况</w:t>
      </w: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hint="eastAsia"/>
          <w:sz w:val="30"/>
          <w:szCs w:val="30"/>
        </w:rPr>
        <w:t>本行高管薪酬严格按照《浙江农商银行系统行社领导人员薪酬管理办法》（浙农商银发</w:t>
      </w:r>
      <w:r>
        <w:rPr>
          <w:rFonts w:ascii="仿宋" w:eastAsia="仿宋" w:hAnsi="仿宋" w:hint="eastAsia"/>
          <w:sz w:val="30"/>
          <w:szCs w:val="30"/>
        </w:rPr>
        <w:t>〔2022〕</w:t>
      </w:r>
      <w:r w:rsidRPr="00727D40">
        <w:rPr>
          <w:rFonts w:ascii="仿宋" w:eastAsia="仿宋" w:hAnsi="仿宋" w:hint="eastAsia"/>
          <w:sz w:val="30"/>
          <w:szCs w:val="30"/>
        </w:rPr>
        <w:t>7号）文件规定执行，薪酬由基本薪酬、绩效薪酬、专项奖励三部分构成，其中以基本薪酬和绩效薪酬为主。普通干部员工薪酬由基础薪酬和绩效薪酬两部分构成。同时，按照监管部门相关规定，对高管绩效薪酬严格执行延期支付，延期支付比例不低于绩效薪酬的50%，延期支付期限为3年，延期支付时段遵循等分原则。</w:t>
      </w: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hint="eastAsia"/>
          <w:sz w:val="30"/>
          <w:szCs w:val="30"/>
        </w:rPr>
        <w:t>2023年度共有高管人员5</w:t>
      </w:r>
      <w:r>
        <w:rPr>
          <w:rFonts w:ascii="仿宋" w:eastAsia="仿宋" w:hAnsi="仿宋" w:hint="eastAsia"/>
          <w:sz w:val="30"/>
          <w:szCs w:val="30"/>
        </w:rPr>
        <w:t>名，</w:t>
      </w:r>
      <w:r w:rsidRPr="00727D40">
        <w:rPr>
          <w:rFonts w:ascii="仿宋" w:eastAsia="仿宋" w:hAnsi="仿宋" w:hint="eastAsia"/>
          <w:sz w:val="30"/>
          <w:szCs w:val="30"/>
        </w:rPr>
        <w:t>省农商联合银行还未最终核定</w:t>
      </w:r>
      <w:r>
        <w:rPr>
          <w:rFonts w:ascii="仿宋" w:eastAsia="仿宋" w:hAnsi="仿宋" w:hint="eastAsia"/>
          <w:sz w:val="30"/>
          <w:szCs w:val="30"/>
        </w:rPr>
        <w:t>2023年度薪酬</w:t>
      </w:r>
      <w:r w:rsidRPr="00727D40">
        <w:rPr>
          <w:rFonts w:ascii="仿宋" w:eastAsia="仿宋" w:hAnsi="仿宋" w:hint="eastAsia"/>
          <w:sz w:val="30"/>
          <w:szCs w:val="30"/>
        </w:rPr>
        <w:t>，目前以2022年度本行高管核定标准薪酬为依据进行测算，并按月预放，截止2023年12月末，累计预发183.66万元。</w:t>
      </w: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hint="eastAsia"/>
          <w:sz w:val="30"/>
          <w:szCs w:val="30"/>
        </w:rPr>
        <w:t>本行除独立董事外，其他董、监事履职无薪酬。2023年度本行共有独立董事2名，发放薪酬10万元。</w:t>
      </w: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hint="eastAsia"/>
          <w:sz w:val="30"/>
          <w:szCs w:val="30"/>
        </w:rPr>
        <w:lastRenderedPageBreak/>
        <w:t>（八）部门与分支机构设置及人员情况</w:t>
      </w:r>
    </w:p>
    <w:p w:rsidR="00BA3138" w:rsidRPr="006C6E50" w:rsidRDefault="00BA3138" w:rsidP="00BA3138">
      <w:pPr>
        <w:spacing w:line="500" w:lineRule="exact"/>
        <w:ind w:firstLineChars="200" w:firstLine="600"/>
        <w:rPr>
          <w:rFonts w:ascii="宋体" w:hAnsi="宋体"/>
          <w:sz w:val="28"/>
          <w:szCs w:val="28"/>
        </w:rPr>
      </w:pPr>
      <w:r w:rsidRPr="00727D40">
        <w:rPr>
          <w:rFonts w:ascii="仿宋" w:eastAsia="仿宋" w:hAnsi="仿宋"/>
          <w:sz w:val="30"/>
          <w:szCs w:val="30"/>
        </w:rPr>
        <w:t>1</w:t>
      </w:r>
      <w:r w:rsidRPr="00727D40">
        <w:rPr>
          <w:rFonts w:ascii="仿宋" w:eastAsia="仿宋" w:hAnsi="仿宋" w:hint="eastAsia"/>
          <w:sz w:val="30"/>
          <w:szCs w:val="30"/>
        </w:rPr>
        <w:t>.营业机构。本行设1家总行营业部和12家支行、29家分理处，共计营业网点42家。</w:t>
      </w:r>
    </w:p>
    <w:tbl>
      <w:tblPr>
        <w:tblW w:w="5000" w:type="pct"/>
        <w:jc w:val="center"/>
        <w:tblBorders>
          <w:top w:val="single" w:sz="4" w:space="0" w:color="auto"/>
          <w:bottom w:val="single" w:sz="4" w:space="0" w:color="auto"/>
          <w:insideV w:val="single" w:sz="4" w:space="0" w:color="auto"/>
        </w:tblBorders>
        <w:tblLook w:val="00A0"/>
      </w:tblPr>
      <w:tblGrid>
        <w:gridCol w:w="585"/>
        <w:gridCol w:w="5477"/>
        <w:gridCol w:w="3224"/>
      </w:tblGrid>
      <w:tr w:rsidR="00BA3138" w:rsidRPr="006C6E50" w:rsidTr="00025338">
        <w:trPr>
          <w:trHeight w:val="58"/>
          <w:jc w:val="center"/>
        </w:trPr>
        <w:tc>
          <w:tcPr>
            <w:tcW w:w="315" w:type="pct"/>
            <w:tcBorders>
              <w:top w:val="single" w:sz="4" w:space="0" w:color="auto"/>
              <w:bottom w:val="single" w:sz="4" w:space="0" w:color="auto"/>
            </w:tcBorders>
          </w:tcPr>
          <w:p w:rsidR="00BA3138" w:rsidRPr="006C6E50" w:rsidRDefault="00BA3138" w:rsidP="00025338">
            <w:pPr>
              <w:widowControl/>
              <w:spacing w:line="480" w:lineRule="exact"/>
              <w:jc w:val="center"/>
              <w:rPr>
                <w:rFonts w:ascii="宋体"/>
                <w:bCs/>
                <w:kern w:val="0"/>
                <w:sz w:val="18"/>
                <w:szCs w:val="18"/>
              </w:rPr>
            </w:pPr>
            <w:r w:rsidRPr="006C6E50">
              <w:rPr>
                <w:rFonts w:ascii="宋体" w:hAnsi="宋体" w:hint="eastAsia"/>
                <w:bCs/>
                <w:kern w:val="0"/>
                <w:sz w:val="18"/>
                <w:szCs w:val="18"/>
              </w:rPr>
              <w:t>序号</w:t>
            </w:r>
          </w:p>
        </w:tc>
        <w:tc>
          <w:tcPr>
            <w:tcW w:w="2949" w:type="pct"/>
            <w:tcBorders>
              <w:top w:val="single" w:sz="4" w:space="0" w:color="auto"/>
              <w:bottom w:val="single" w:sz="4" w:space="0" w:color="auto"/>
            </w:tcBorders>
          </w:tcPr>
          <w:p w:rsidR="00BA3138" w:rsidRPr="006C6E50" w:rsidRDefault="00BA3138" w:rsidP="00025338">
            <w:pPr>
              <w:widowControl/>
              <w:spacing w:line="480" w:lineRule="exact"/>
              <w:jc w:val="center"/>
              <w:rPr>
                <w:rFonts w:ascii="宋体"/>
                <w:bCs/>
                <w:kern w:val="0"/>
                <w:sz w:val="18"/>
                <w:szCs w:val="18"/>
              </w:rPr>
            </w:pPr>
            <w:r w:rsidRPr="006C6E50">
              <w:rPr>
                <w:rFonts w:ascii="宋体" w:hAnsi="宋体" w:hint="eastAsia"/>
                <w:bCs/>
                <w:kern w:val="0"/>
                <w:sz w:val="18"/>
                <w:szCs w:val="18"/>
              </w:rPr>
              <w:t>机构名称</w:t>
            </w:r>
          </w:p>
        </w:tc>
        <w:tc>
          <w:tcPr>
            <w:tcW w:w="1736" w:type="pct"/>
            <w:tcBorders>
              <w:top w:val="single" w:sz="4" w:space="0" w:color="auto"/>
              <w:bottom w:val="single" w:sz="4" w:space="0" w:color="auto"/>
            </w:tcBorders>
          </w:tcPr>
          <w:p w:rsidR="00BA3138" w:rsidRPr="006C6E50" w:rsidRDefault="00BA3138" w:rsidP="00025338">
            <w:pPr>
              <w:widowControl/>
              <w:spacing w:line="480" w:lineRule="exact"/>
              <w:jc w:val="center"/>
              <w:rPr>
                <w:rFonts w:ascii="宋体"/>
                <w:bCs/>
                <w:kern w:val="0"/>
                <w:sz w:val="18"/>
                <w:szCs w:val="18"/>
              </w:rPr>
            </w:pPr>
            <w:r w:rsidRPr="006C6E50">
              <w:rPr>
                <w:rFonts w:ascii="宋体" w:hAnsi="宋体" w:hint="eastAsia"/>
                <w:bCs/>
                <w:kern w:val="0"/>
                <w:sz w:val="18"/>
                <w:szCs w:val="18"/>
              </w:rPr>
              <w:t>地</w:t>
            </w:r>
            <w:r w:rsidRPr="006C6E50">
              <w:rPr>
                <w:rFonts w:ascii="宋体" w:hAnsi="宋体"/>
                <w:bCs/>
                <w:kern w:val="0"/>
                <w:sz w:val="18"/>
                <w:szCs w:val="18"/>
              </w:rPr>
              <w:t xml:space="preserve">   </w:t>
            </w:r>
            <w:r w:rsidRPr="006C6E50">
              <w:rPr>
                <w:rFonts w:ascii="宋体" w:hAnsi="宋体" w:hint="eastAsia"/>
                <w:bCs/>
                <w:kern w:val="0"/>
                <w:sz w:val="18"/>
                <w:szCs w:val="18"/>
              </w:rPr>
              <w:t>址</w:t>
            </w:r>
          </w:p>
        </w:tc>
      </w:tr>
      <w:tr w:rsidR="00BA3138" w:rsidRPr="006C6E50" w:rsidTr="00025338">
        <w:trPr>
          <w:trHeight w:val="397"/>
          <w:jc w:val="center"/>
        </w:trPr>
        <w:tc>
          <w:tcPr>
            <w:tcW w:w="315" w:type="pct"/>
            <w:tcBorders>
              <w:top w:val="single" w:sz="4" w:space="0" w:color="auto"/>
            </w:tcBorders>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w:t>
            </w:r>
          </w:p>
        </w:tc>
        <w:tc>
          <w:tcPr>
            <w:tcW w:w="2949" w:type="pct"/>
            <w:tcBorders>
              <w:top w:val="single" w:sz="4" w:space="0" w:color="auto"/>
            </w:tcBorders>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浙江舟山普陀农村商业银行股份有限公司营业部</w:t>
            </w:r>
          </w:p>
        </w:tc>
        <w:tc>
          <w:tcPr>
            <w:tcW w:w="1736" w:type="pct"/>
            <w:tcBorders>
              <w:top w:val="single" w:sz="4" w:space="0" w:color="auto"/>
            </w:tcBorders>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普陀区东港街道麒麟街</w:t>
            </w:r>
            <w:r w:rsidRPr="006C6E50">
              <w:rPr>
                <w:rFonts w:ascii="宋体" w:hAnsi="宋体"/>
                <w:sz w:val="18"/>
                <w:szCs w:val="18"/>
              </w:rPr>
              <w:t>225</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浙江舟山普陀农村商业银行股份有限公司营业部永兴分理处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普陀区东港街道海印路1055号（全民健身中心）</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浙江舟山普陀农村商业银行股份有限公司六横支行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普陀区六横镇六横路258号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4</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浙江舟山普陀农村商业银行股份有限公司六横支行东升分理处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普陀区六横镇三八路233号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5</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浙江舟山普陀农村商业银行股份有限公司六横支行峧头分理处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普陀区六横镇六横路106号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6</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浙江舟山普陀农村商业银行股份有限公司六横支行龙山分理处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普陀区六横镇龙山村龙山路</w:t>
            </w:r>
            <w:r w:rsidRPr="006C6E50">
              <w:rPr>
                <w:rFonts w:ascii="宋体" w:hAnsi="宋体"/>
                <w:sz w:val="18"/>
                <w:szCs w:val="18"/>
              </w:rPr>
              <w:t>27</w:t>
            </w:r>
            <w:r w:rsidRPr="006C6E50">
              <w:rPr>
                <w:rFonts w:ascii="宋体" w:hAnsi="宋体" w:hint="eastAsia"/>
                <w:sz w:val="18"/>
                <w:szCs w:val="18"/>
              </w:rPr>
              <w:t>、</w:t>
            </w:r>
            <w:r w:rsidRPr="006C6E50">
              <w:rPr>
                <w:rFonts w:ascii="宋体" w:hAnsi="宋体"/>
                <w:sz w:val="18"/>
                <w:szCs w:val="18"/>
              </w:rPr>
              <w:t>29</w:t>
            </w:r>
            <w:r w:rsidRPr="006C6E50">
              <w:rPr>
                <w:rFonts w:ascii="宋体" w:hAnsi="宋体" w:hint="eastAsia"/>
                <w:sz w:val="18"/>
                <w:szCs w:val="18"/>
              </w:rPr>
              <w:t>、</w:t>
            </w:r>
            <w:r w:rsidRPr="006C6E50">
              <w:rPr>
                <w:rFonts w:ascii="宋体" w:hAnsi="宋体"/>
                <w:sz w:val="18"/>
                <w:szCs w:val="18"/>
              </w:rPr>
              <w:t>31</w:t>
            </w:r>
            <w:r w:rsidRPr="006C6E50">
              <w:rPr>
                <w:rFonts w:ascii="宋体" w:hAnsi="宋体" w:hint="eastAsia"/>
                <w:sz w:val="18"/>
                <w:szCs w:val="18"/>
              </w:rPr>
              <w:t>、</w:t>
            </w:r>
            <w:r w:rsidRPr="006C6E50">
              <w:rPr>
                <w:rFonts w:ascii="宋体" w:hAnsi="宋体"/>
                <w:sz w:val="18"/>
                <w:szCs w:val="18"/>
              </w:rPr>
              <w:t>33</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7</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浙江舟山普陀农村商业银行股份有限公司六横支行双塘分理处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普陀区六横镇双塘张家塘街道</w:t>
            </w:r>
            <w:r w:rsidRPr="006C6E50">
              <w:rPr>
                <w:rFonts w:ascii="宋体" w:hAnsi="宋体"/>
                <w:sz w:val="18"/>
                <w:szCs w:val="18"/>
              </w:rPr>
              <w:t>144</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8</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浙江舟山普陀农村商业银行股份有限公司台门支行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普陀区六横镇台门台兴路</w:t>
            </w:r>
            <w:r w:rsidRPr="006C6E50">
              <w:rPr>
                <w:rFonts w:ascii="宋体" w:hAnsi="宋体"/>
                <w:sz w:val="18"/>
                <w:szCs w:val="18"/>
              </w:rPr>
              <w:t>41</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9</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浙江舟山普陀农村商业银行股份有限公司虾峙支行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普陀区虾峙镇大岙村大岙一区</w:t>
            </w:r>
            <w:r w:rsidRPr="006C6E50">
              <w:rPr>
                <w:rFonts w:ascii="宋体" w:hAnsi="宋体"/>
                <w:sz w:val="18"/>
                <w:szCs w:val="18"/>
              </w:rPr>
              <w:t>41</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10</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浙江舟山普陀农村商业银行股份有限公司虾峙支行栅棚分理处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普陀区虾峙镇沙峧村一区</w:t>
            </w:r>
            <w:r w:rsidRPr="006C6E50">
              <w:rPr>
                <w:rFonts w:ascii="宋体" w:hAnsi="宋体"/>
                <w:sz w:val="18"/>
                <w:szCs w:val="18"/>
              </w:rPr>
              <w:t>99</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11</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浙江舟山普陀农村商业银行股份有限公司桃花支行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普陀区桃花镇宫前街</w:t>
            </w:r>
            <w:r w:rsidRPr="006C6E50">
              <w:rPr>
                <w:rFonts w:ascii="宋体" w:hAnsi="宋体"/>
                <w:sz w:val="18"/>
                <w:szCs w:val="18"/>
              </w:rPr>
              <w:t>142</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12</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浙江舟山普陀农村商业银行股份有限公司桃花支行登步分理处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普陀区登步乡永安村</w:t>
            </w:r>
            <w:r w:rsidRPr="006C6E50">
              <w:rPr>
                <w:rFonts w:ascii="宋体" w:hAnsi="宋体"/>
                <w:sz w:val="18"/>
                <w:szCs w:val="18"/>
              </w:rPr>
              <w:t>18</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13</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浙江舟山普陀农村商业银行股份有限公司桃花支行蚂蚁分理处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普陀区蚂蚁乡文明路</w:t>
            </w:r>
            <w:r w:rsidRPr="006C6E50">
              <w:rPr>
                <w:rFonts w:ascii="宋体" w:hAnsi="宋体"/>
                <w:sz w:val="18"/>
                <w:szCs w:val="18"/>
              </w:rPr>
              <w:t>109</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14</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浙江舟山普陀农村商业银行股份有限公司朱家尖支行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普陀区朱家尖街道庆丰路</w:t>
            </w:r>
            <w:r w:rsidRPr="006C6E50">
              <w:rPr>
                <w:rFonts w:ascii="宋体" w:hAnsi="宋体"/>
                <w:sz w:val="18"/>
                <w:szCs w:val="18"/>
              </w:rPr>
              <w:t>176</w:t>
            </w:r>
            <w:r w:rsidRPr="006C6E50">
              <w:rPr>
                <w:rFonts w:ascii="宋体" w:hAnsi="宋体" w:hint="eastAsia"/>
                <w:sz w:val="18"/>
                <w:szCs w:val="18"/>
              </w:rPr>
              <w:t>号汇景东方花园</w:t>
            </w:r>
            <w:r w:rsidRPr="006C6E50">
              <w:rPr>
                <w:rFonts w:ascii="宋体" w:hAnsi="宋体"/>
                <w:sz w:val="18"/>
                <w:szCs w:val="18"/>
              </w:rPr>
              <w:t>32</w:t>
            </w:r>
            <w:r w:rsidRPr="006C6E50">
              <w:rPr>
                <w:rFonts w:ascii="宋体" w:hAnsi="宋体" w:hint="eastAsia"/>
                <w:sz w:val="18"/>
                <w:szCs w:val="18"/>
              </w:rPr>
              <w:t>幢中欣路</w:t>
            </w:r>
            <w:r w:rsidRPr="006C6E50">
              <w:rPr>
                <w:rFonts w:ascii="宋体" w:hAnsi="宋体"/>
                <w:sz w:val="18"/>
                <w:szCs w:val="18"/>
              </w:rPr>
              <w:t>6-12</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15</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浙江舟山普陀农村商业银行股份有限公司朱家尖支行白沙分理处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普陀区白沙乡白沙村后沙头</w:t>
            </w:r>
            <w:r w:rsidRPr="006C6E50">
              <w:rPr>
                <w:rFonts w:ascii="宋体" w:hAnsi="宋体"/>
                <w:sz w:val="18"/>
                <w:szCs w:val="18"/>
              </w:rPr>
              <w:t>46</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16</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浙江舟山普陀农村商业银行股份有限公司朱家尖支行顺母分理处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普陀区朱家尖街道顺母村里岙</w:t>
            </w:r>
            <w:r w:rsidRPr="006C6E50">
              <w:rPr>
                <w:rFonts w:ascii="宋体" w:hAnsi="宋体"/>
                <w:sz w:val="18"/>
                <w:szCs w:val="18"/>
              </w:rPr>
              <w:t>7</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17</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浙江舟山普陀农村商业银行股份有限公司朱家尖支行寺岙分理处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普陀区朱家尖街道寺岙村金沙路</w:t>
            </w:r>
            <w:r w:rsidRPr="006C6E50">
              <w:rPr>
                <w:rFonts w:ascii="宋体" w:hAnsi="宋体"/>
                <w:sz w:val="18"/>
                <w:szCs w:val="18"/>
              </w:rPr>
              <w:t>313</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18</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浙江舟山普陀农村商业银行股份有限公司展茅支行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普陀区展茅街道文化路</w:t>
            </w:r>
            <w:r w:rsidRPr="006C6E50">
              <w:rPr>
                <w:rFonts w:ascii="宋体" w:hAnsi="宋体"/>
                <w:sz w:val="18"/>
                <w:szCs w:val="18"/>
              </w:rPr>
              <w:t>1</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19</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浙江舟山普陀农村商业银行股份有限公司展茅支行螺门分理处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普陀区展茅街道螺门村里螺门弄</w:t>
            </w:r>
            <w:r w:rsidRPr="006C6E50">
              <w:rPr>
                <w:rFonts w:ascii="宋体" w:hAnsi="宋体"/>
                <w:sz w:val="18"/>
                <w:szCs w:val="18"/>
              </w:rPr>
              <w:t>16</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20</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浙江舟山普陀农村商业银行股份有限公司展茅支行沙井潭分理处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普陀区展茅街道商业路2号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21</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浙江舟山普陀农村商业银行股份有限公司浦西支行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普陀区勾山街道东海西路</w:t>
            </w:r>
            <w:r w:rsidRPr="006C6E50">
              <w:rPr>
                <w:rFonts w:ascii="宋体" w:hAnsi="宋体"/>
                <w:sz w:val="18"/>
                <w:szCs w:val="18"/>
              </w:rPr>
              <w:t>2140</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22</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浙江舟山普陀农村商业银行股份有限公司浦西支行红旗分理处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普陀区东港街道兴北东路546、548号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23</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浙江舟山普陀农村商业银行股份有限公司浦西支行芦花分理处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普陀区勾山街道芦花街</w:t>
            </w:r>
            <w:r w:rsidRPr="006C6E50">
              <w:rPr>
                <w:rFonts w:ascii="宋体" w:hAnsi="宋体"/>
                <w:sz w:val="18"/>
                <w:szCs w:val="18"/>
              </w:rPr>
              <w:t>200</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24</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浙江舟山普陀农村商业银行股份有限公司浦西支行平西分理处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普陀区沈家门街道兴海路32、34、36号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25</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浙江舟山普陀农村商业银行股份有限公司浦西支行平阳分理处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普陀区勾山街道板桥路</w:t>
            </w:r>
            <w:r w:rsidRPr="006C6E50">
              <w:rPr>
                <w:rFonts w:ascii="宋体" w:hAnsi="宋体"/>
                <w:sz w:val="18"/>
                <w:szCs w:val="18"/>
              </w:rPr>
              <w:t>157-159</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26</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浙江舟山普陀农村商业银行股份有限公司浦西支行勾山分理处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普陀区勾山街道勾山街</w:t>
            </w:r>
            <w:r w:rsidRPr="006C6E50">
              <w:rPr>
                <w:rFonts w:ascii="宋体" w:hAnsi="宋体"/>
                <w:sz w:val="18"/>
                <w:szCs w:val="18"/>
              </w:rPr>
              <w:t>102</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27</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浙江舟山普陀农村商业银行股份有限公司新城支行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cs="宋体" w:hint="eastAsia"/>
                <w:sz w:val="18"/>
                <w:szCs w:val="18"/>
              </w:rPr>
              <w:t>临城街道合兴路</w:t>
            </w:r>
            <w:r w:rsidRPr="006C6E50">
              <w:rPr>
                <w:rFonts w:ascii="宋体" w:hAnsi="宋体" w:cs="宋体"/>
                <w:sz w:val="18"/>
                <w:szCs w:val="18"/>
              </w:rPr>
              <w:t>85</w:t>
            </w:r>
            <w:r w:rsidRPr="006C6E50">
              <w:rPr>
                <w:rFonts w:ascii="宋体" w:hAnsi="宋体" w:cs="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28</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浙江舟山普陀农村商业银行股份有限公司自贸区滨港支行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普陀区沈家门滨港路</w:t>
            </w:r>
            <w:r w:rsidRPr="006C6E50">
              <w:rPr>
                <w:rFonts w:ascii="宋体" w:hAnsi="宋体"/>
                <w:sz w:val="18"/>
                <w:szCs w:val="18"/>
              </w:rPr>
              <w:t>164</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lastRenderedPageBreak/>
              <w:t>29</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浙江舟山普陀农村商业银行股份有限公司沈家门支行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普陀区沈家门街道东海东路</w:t>
            </w:r>
            <w:r w:rsidRPr="006C6E50">
              <w:rPr>
                <w:rFonts w:ascii="宋体" w:hAnsi="宋体"/>
                <w:sz w:val="18"/>
                <w:szCs w:val="18"/>
              </w:rPr>
              <w:t>58</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30</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浙江舟山普陀农村商业银行股份有限公司沈家门支行鲁家峙分理处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普陀区沈家门街道鲁中路</w:t>
            </w:r>
            <w:r w:rsidRPr="006C6E50">
              <w:rPr>
                <w:rFonts w:ascii="宋体" w:hAnsi="宋体"/>
                <w:sz w:val="18"/>
                <w:szCs w:val="18"/>
              </w:rPr>
              <w:t>221</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31</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浙江舟山普陀农村商业银行股份有限公司沈家门支行西区分理处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普陀区沈家门街道同济路</w:t>
            </w:r>
            <w:r w:rsidRPr="006C6E50">
              <w:rPr>
                <w:rFonts w:ascii="宋体" w:hAnsi="宋体"/>
                <w:sz w:val="18"/>
                <w:szCs w:val="18"/>
              </w:rPr>
              <w:t>72</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32</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浙江舟山普陀农村商业银行股份有限公司沈家门支行新兴分理处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普陀区沈家门街道菜市路</w:t>
            </w:r>
            <w:r w:rsidRPr="006C6E50">
              <w:rPr>
                <w:rFonts w:ascii="宋体" w:hAnsi="宋体"/>
                <w:sz w:val="18"/>
                <w:szCs w:val="18"/>
              </w:rPr>
              <w:t>69</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33</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浙江舟山普陀农村商业银行股份有限公司水产城支行</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普陀区沈家门街道东海中路</w:t>
            </w:r>
            <w:r w:rsidRPr="006C6E50">
              <w:rPr>
                <w:rFonts w:ascii="宋体" w:hAnsi="宋体"/>
                <w:sz w:val="18"/>
                <w:szCs w:val="18"/>
              </w:rPr>
              <w:t>794</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34</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浙江舟山普陀农村商业银行股份有限公司水产城支行城西分理处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普陀区沈家门东海西路</w:t>
            </w:r>
            <w:r w:rsidRPr="006C6E50">
              <w:rPr>
                <w:rFonts w:ascii="宋体" w:hAnsi="宋体"/>
                <w:sz w:val="18"/>
                <w:szCs w:val="18"/>
              </w:rPr>
              <w:t>48</w:t>
            </w:r>
            <w:r w:rsidRPr="006C6E50">
              <w:rPr>
                <w:rFonts w:ascii="宋体" w:hAnsi="宋体" w:hint="eastAsia"/>
                <w:sz w:val="18"/>
                <w:szCs w:val="18"/>
              </w:rPr>
              <w:t>、</w:t>
            </w:r>
            <w:r w:rsidRPr="006C6E50">
              <w:rPr>
                <w:rFonts w:ascii="宋体" w:hAnsi="宋体"/>
                <w:sz w:val="18"/>
                <w:szCs w:val="18"/>
              </w:rPr>
              <w:t>50</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35</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浙江舟山普陀农村商业银行股份有限公司水产城支行船厂路分理处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普陀区沈家门街道船厂路64、</w:t>
            </w:r>
            <w:r w:rsidRPr="006C6E50">
              <w:rPr>
                <w:rFonts w:ascii="宋体" w:hAnsi="宋体"/>
                <w:sz w:val="18"/>
                <w:szCs w:val="18"/>
              </w:rPr>
              <w:t>66</w:t>
            </w:r>
            <w:r w:rsidRPr="006C6E50">
              <w:rPr>
                <w:rFonts w:ascii="宋体" w:hAnsi="宋体" w:hint="eastAsia"/>
                <w:sz w:val="18"/>
                <w:szCs w:val="18"/>
              </w:rPr>
              <w:t>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36</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浙江舟山普陀农村商业银行股份有限公司水产城支行新村分理处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普陀区沈家门街道中洲路2</w:t>
            </w:r>
            <w:r w:rsidRPr="006C6E50">
              <w:rPr>
                <w:rFonts w:ascii="宋体" w:hAnsi="宋体"/>
                <w:sz w:val="18"/>
                <w:szCs w:val="18"/>
              </w:rPr>
              <w:t>-</w:t>
            </w:r>
            <w:r w:rsidRPr="006C6E50">
              <w:rPr>
                <w:rFonts w:ascii="宋体" w:hAnsi="宋体" w:hint="eastAsia"/>
                <w:sz w:val="18"/>
                <w:szCs w:val="18"/>
              </w:rPr>
              <w:t>4号</w:t>
            </w:r>
          </w:p>
        </w:tc>
      </w:tr>
      <w:tr w:rsidR="00BA3138" w:rsidRPr="006C6E50" w:rsidTr="00025338">
        <w:trPr>
          <w:trHeight w:val="397"/>
          <w:jc w:val="center"/>
        </w:trPr>
        <w:tc>
          <w:tcPr>
            <w:tcW w:w="315" w:type="pct"/>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37</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浙江舟山普陀农村商业银行股份有限公司东港支行</w:t>
            </w:r>
          </w:p>
        </w:tc>
        <w:tc>
          <w:tcPr>
            <w:tcW w:w="1736" w:type="pct"/>
            <w:vAlign w:val="center"/>
          </w:tcPr>
          <w:p w:rsidR="00BA3138" w:rsidRPr="00E9257A" w:rsidRDefault="00BA3138" w:rsidP="00025338">
            <w:pPr>
              <w:spacing w:line="280" w:lineRule="exact"/>
              <w:rPr>
                <w:rFonts w:ascii="宋体" w:cs="宋体"/>
                <w:sz w:val="18"/>
                <w:szCs w:val="18"/>
              </w:rPr>
            </w:pPr>
            <w:r w:rsidRPr="006C6E50">
              <w:rPr>
                <w:rFonts w:ascii="宋体" w:hAnsi="宋体" w:hint="eastAsia"/>
                <w:sz w:val="18"/>
                <w:szCs w:val="18"/>
              </w:rPr>
              <w:t>普陀区东港街道东港中昌街</w:t>
            </w:r>
            <w:r w:rsidRPr="006C6E50">
              <w:rPr>
                <w:rFonts w:ascii="宋体" w:hAnsi="宋体"/>
                <w:sz w:val="18"/>
                <w:szCs w:val="18"/>
              </w:rPr>
              <w:t>109-111</w:t>
            </w:r>
          </w:p>
        </w:tc>
      </w:tr>
      <w:tr w:rsidR="00BA3138" w:rsidRPr="006C6E50" w:rsidTr="00025338">
        <w:trPr>
          <w:trHeight w:val="397"/>
          <w:jc w:val="center"/>
        </w:trPr>
        <w:tc>
          <w:tcPr>
            <w:tcW w:w="315" w:type="pct"/>
            <w:vAlign w:val="center"/>
          </w:tcPr>
          <w:p w:rsidR="00BA3138" w:rsidRPr="00E9257A" w:rsidRDefault="00BA3138" w:rsidP="00025338">
            <w:pPr>
              <w:widowControl/>
              <w:spacing w:line="280" w:lineRule="exact"/>
              <w:rPr>
                <w:rFonts w:ascii="宋体" w:hAnsi="宋体"/>
                <w:kern w:val="0"/>
                <w:sz w:val="18"/>
                <w:szCs w:val="18"/>
              </w:rPr>
            </w:pPr>
            <w:r w:rsidRPr="006C6E50">
              <w:rPr>
                <w:rFonts w:ascii="宋体" w:hAnsi="宋体"/>
                <w:kern w:val="0"/>
                <w:sz w:val="18"/>
                <w:szCs w:val="18"/>
              </w:rPr>
              <w:t>38</w:t>
            </w:r>
          </w:p>
        </w:tc>
        <w:tc>
          <w:tcPr>
            <w:tcW w:w="2949"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浙江舟山普陀农村商业银行股份有限公司东港支行东极分理处</w:t>
            </w:r>
          </w:p>
        </w:tc>
        <w:tc>
          <w:tcPr>
            <w:tcW w:w="1736" w:type="pct"/>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普陀区东极镇庙子湖村中街山路</w:t>
            </w:r>
            <w:r w:rsidRPr="006C6E50">
              <w:rPr>
                <w:rFonts w:ascii="宋体" w:hAnsi="宋体"/>
                <w:sz w:val="18"/>
                <w:szCs w:val="18"/>
              </w:rPr>
              <w:t>5</w:t>
            </w:r>
            <w:r w:rsidRPr="006C6E50">
              <w:rPr>
                <w:rFonts w:ascii="宋体" w:hAnsi="宋体" w:hint="eastAsia"/>
                <w:sz w:val="18"/>
                <w:szCs w:val="18"/>
              </w:rPr>
              <w:t>弄</w:t>
            </w:r>
            <w:r w:rsidRPr="006C6E50">
              <w:rPr>
                <w:rFonts w:ascii="宋体" w:hAnsi="宋体"/>
                <w:sz w:val="18"/>
                <w:szCs w:val="18"/>
              </w:rPr>
              <w:t>62</w:t>
            </w:r>
            <w:r w:rsidRPr="006C6E50">
              <w:rPr>
                <w:rFonts w:ascii="宋体" w:hAnsi="宋体" w:hint="eastAsia"/>
                <w:sz w:val="18"/>
                <w:szCs w:val="18"/>
              </w:rPr>
              <w:t>号</w:t>
            </w:r>
          </w:p>
        </w:tc>
      </w:tr>
      <w:tr w:rsidR="00BA3138" w:rsidRPr="006C6E50" w:rsidTr="00025338">
        <w:trPr>
          <w:trHeight w:val="397"/>
          <w:jc w:val="center"/>
        </w:trPr>
        <w:tc>
          <w:tcPr>
            <w:tcW w:w="315" w:type="pct"/>
            <w:tcBorders>
              <w:bottom w:val="nil"/>
            </w:tcBorders>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hint="eastAsia"/>
                <w:kern w:val="0"/>
                <w:sz w:val="18"/>
                <w:szCs w:val="18"/>
              </w:rPr>
              <w:t>39</w:t>
            </w:r>
          </w:p>
        </w:tc>
        <w:tc>
          <w:tcPr>
            <w:tcW w:w="2949" w:type="pct"/>
            <w:tcBorders>
              <w:bottom w:val="nil"/>
            </w:tcBorders>
            <w:vAlign w:val="center"/>
          </w:tcPr>
          <w:p w:rsidR="00BA3138" w:rsidRPr="006C6E50" w:rsidRDefault="00BA3138" w:rsidP="00025338">
            <w:pPr>
              <w:spacing w:line="280" w:lineRule="exact"/>
              <w:rPr>
                <w:rFonts w:ascii="宋体" w:hAnsi="宋体"/>
                <w:sz w:val="18"/>
                <w:szCs w:val="18"/>
              </w:rPr>
            </w:pPr>
            <w:r w:rsidRPr="006C6E50">
              <w:rPr>
                <w:rFonts w:ascii="宋体" w:hAnsi="宋体" w:hint="eastAsia"/>
                <w:sz w:val="18"/>
                <w:szCs w:val="18"/>
              </w:rPr>
              <w:t>浙江舟山普陀农村商业银行股份有限公司东港支行荷外分理处</w:t>
            </w:r>
          </w:p>
        </w:tc>
        <w:tc>
          <w:tcPr>
            <w:tcW w:w="1736" w:type="pct"/>
            <w:tcBorders>
              <w:bottom w:val="nil"/>
            </w:tcBorders>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普陀区沈家门街道中兴路</w:t>
            </w:r>
            <w:r w:rsidRPr="006C6E50">
              <w:rPr>
                <w:rFonts w:ascii="宋体" w:hAnsi="宋体"/>
                <w:sz w:val="18"/>
                <w:szCs w:val="18"/>
              </w:rPr>
              <w:t>24</w:t>
            </w:r>
            <w:r w:rsidRPr="006C6E50">
              <w:rPr>
                <w:rFonts w:ascii="宋体" w:hAnsi="宋体" w:hint="eastAsia"/>
                <w:sz w:val="18"/>
                <w:szCs w:val="18"/>
              </w:rPr>
              <w:t>号</w:t>
            </w:r>
          </w:p>
        </w:tc>
      </w:tr>
      <w:tr w:rsidR="00BA3138" w:rsidRPr="006C6E50" w:rsidTr="00025338">
        <w:trPr>
          <w:trHeight w:val="397"/>
          <w:jc w:val="center"/>
        </w:trPr>
        <w:tc>
          <w:tcPr>
            <w:tcW w:w="315" w:type="pct"/>
            <w:tcBorders>
              <w:top w:val="nil"/>
              <w:bottom w:val="nil"/>
            </w:tcBorders>
            <w:vAlign w:val="center"/>
          </w:tcPr>
          <w:p w:rsidR="00BA3138" w:rsidRPr="006C6E50" w:rsidRDefault="00BA3138" w:rsidP="00025338">
            <w:pPr>
              <w:widowControl/>
              <w:spacing w:line="280" w:lineRule="exact"/>
              <w:rPr>
                <w:rFonts w:ascii="宋体"/>
                <w:kern w:val="0"/>
                <w:sz w:val="18"/>
                <w:szCs w:val="18"/>
              </w:rPr>
            </w:pPr>
            <w:r>
              <w:rPr>
                <w:rFonts w:ascii="宋体" w:hAnsi="宋体" w:hint="eastAsia"/>
                <w:kern w:val="0"/>
                <w:sz w:val="18"/>
                <w:szCs w:val="18"/>
              </w:rPr>
              <w:t>40</w:t>
            </w:r>
          </w:p>
        </w:tc>
        <w:tc>
          <w:tcPr>
            <w:tcW w:w="2949" w:type="pct"/>
            <w:tcBorders>
              <w:top w:val="nil"/>
              <w:bottom w:val="nil"/>
            </w:tcBorders>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浙江舟山普陀农村商业银行股份有限公司东港支行塘头分理处</w:t>
            </w:r>
          </w:p>
        </w:tc>
        <w:tc>
          <w:tcPr>
            <w:tcW w:w="1736" w:type="pct"/>
            <w:tcBorders>
              <w:top w:val="nil"/>
              <w:bottom w:val="nil"/>
            </w:tcBorders>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普陀区东港街道塘头沙里大路</w:t>
            </w:r>
            <w:r w:rsidRPr="006C6E50">
              <w:rPr>
                <w:rFonts w:ascii="宋体" w:hAnsi="宋体"/>
                <w:sz w:val="18"/>
                <w:szCs w:val="18"/>
              </w:rPr>
              <w:t>41</w:t>
            </w:r>
            <w:r w:rsidRPr="006C6E50">
              <w:rPr>
                <w:rFonts w:ascii="宋体" w:hAnsi="宋体" w:hint="eastAsia"/>
                <w:sz w:val="18"/>
                <w:szCs w:val="18"/>
              </w:rPr>
              <w:t>号</w:t>
            </w:r>
          </w:p>
        </w:tc>
      </w:tr>
      <w:tr w:rsidR="00BA3138" w:rsidRPr="006C6E50" w:rsidTr="00025338">
        <w:trPr>
          <w:trHeight w:val="397"/>
          <w:jc w:val="center"/>
        </w:trPr>
        <w:tc>
          <w:tcPr>
            <w:tcW w:w="315" w:type="pct"/>
            <w:tcBorders>
              <w:top w:val="nil"/>
              <w:bottom w:val="nil"/>
            </w:tcBorders>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4</w:t>
            </w:r>
            <w:r w:rsidRPr="006C6E50">
              <w:rPr>
                <w:rFonts w:ascii="宋体" w:hAnsi="宋体" w:hint="eastAsia"/>
                <w:kern w:val="0"/>
                <w:sz w:val="18"/>
                <w:szCs w:val="18"/>
              </w:rPr>
              <w:t>1</w:t>
            </w:r>
          </w:p>
        </w:tc>
        <w:tc>
          <w:tcPr>
            <w:tcW w:w="2949" w:type="pct"/>
            <w:tcBorders>
              <w:top w:val="nil"/>
              <w:bottom w:val="nil"/>
            </w:tcBorders>
            <w:vAlign w:val="center"/>
          </w:tcPr>
          <w:p w:rsidR="00BA3138" w:rsidRPr="006C6E50" w:rsidRDefault="00BA3138" w:rsidP="00025338">
            <w:pPr>
              <w:spacing w:line="280" w:lineRule="exact"/>
              <w:rPr>
                <w:rFonts w:ascii="宋体" w:cs="宋体"/>
                <w:sz w:val="18"/>
                <w:szCs w:val="18"/>
              </w:rPr>
            </w:pPr>
            <w:r w:rsidRPr="006C6E50">
              <w:rPr>
                <w:rFonts w:ascii="宋体" w:hAnsi="宋体" w:cs="宋体" w:hint="eastAsia"/>
                <w:sz w:val="18"/>
                <w:szCs w:val="18"/>
              </w:rPr>
              <w:t>浙江舟山普陀农村商业银行股份有限公司东港支行莲洋分理处</w:t>
            </w:r>
          </w:p>
        </w:tc>
        <w:tc>
          <w:tcPr>
            <w:tcW w:w="1736" w:type="pct"/>
            <w:tcBorders>
              <w:top w:val="nil"/>
              <w:bottom w:val="nil"/>
              <w:right w:val="nil"/>
            </w:tcBorders>
            <w:vAlign w:val="center"/>
          </w:tcPr>
          <w:p w:rsidR="00BA3138" w:rsidRPr="006C6E50" w:rsidRDefault="00BA3138" w:rsidP="00025338">
            <w:pPr>
              <w:spacing w:line="280" w:lineRule="exact"/>
              <w:rPr>
                <w:rFonts w:ascii="宋体"/>
                <w:sz w:val="18"/>
                <w:szCs w:val="18"/>
              </w:rPr>
            </w:pPr>
            <w:r w:rsidRPr="006C6E50">
              <w:rPr>
                <w:rFonts w:ascii="宋体" w:hAnsi="宋体" w:hint="eastAsia"/>
                <w:sz w:val="18"/>
                <w:szCs w:val="18"/>
              </w:rPr>
              <w:t>普陀区东港街道莲洋街183、185号</w:t>
            </w:r>
          </w:p>
        </w:tc>
      </w:tr>
      <w:tr w:rsidR="00BA3138" w:rsidRPr="006C6E50" w:rsidTr="00025338">
        <w:trPr>
          <w:trHeight w:val="397"/>
          <w:jc w:val="center"/>
        </w:trPr>
        <w:tc>
          <w:tcPr>
            <w:tcW w:w="315" w:type="pct"/>
            <w:tcBorders>
              <w:top w:val="nil"/>
              <w:bottom w:val="nil"/>
            </w:tcBorders>
            <w:vAlign w:val="center"/>
          </w:tcPr>
          <w:p w:rsidR="00BA3138" w:rsidRPr="006C6E50" w:rsidRDefault="00BA3138" w:rsidP="00025338">
            <w:pPr>
              <w:widowControl/>
              <w:spacing w:line="280" w:lineRule="exact"/>
              <w:rPr>
                <w:rFonts w:ascii="宋体"/>
                <w:kern w:val="0"/>
                <w:sz w:val="18"/>
                <w:szCs w:val="18"/>
              </w:rPr>
            </w:pPr>
            <w:r w:rsidRPr="006C6E50">
              <w:rPr>
                <w:rFonts w:ascii="宋体" w:hAnsi="宋体"/>
                <w:kern w:val="0"/>
                <w:sz w:val="18"/>
                <w:szCs w:val="18"/>
              </w:rPr>
              <w:t>4</w:t>
            </w:r>
            <w:r w:rsidRPr="006C6E50">
              <w:rPr>
                <w:rFonts w:ascii="宋体" w:hAnsi="宋体" w:hint="eastAsia"/>
                <w:kern w:val="0"/>
                <w:sz w:val="18"/>
                <w:szCs w:val="18"/>
              </w:rPr>
              <w:t>2</w:t>
            </w:r>
          </w:p>
        </w:tc>
        <w:tc>
          <w:tcPr>
            <w:tcW w:w="2949" w:type="pct"/>
            <w:tcBorders>
              <w:top w:val="nil"/>
              <w:bottom w:val="nil"/>
            </w:tcBorders>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浙江舟山普陀农村商业银行股份有限公司东港支行香榭街分理处</w:t>
            </w:r>
          </w:p>
        </w:tc>
        <w:tc>
          <w:tcPr>
            <w:tcW w:w="1736" w:type="pct"/>
            <w:tcBorders>
              <w:top w:val="nil"/>
              <w:bottom w:val="nil"/>
              <w:right w:val="nil"/>
            </w:tcBorders>
            <w:vAlign w:val="center"/>
          </w:tcPr>
          <w:p w:rsidR="00BA3138" w:rsidRPr="006C6E50" w:rsidRDefault="00BA3138" w:rsidP="00025338">
            <w:pPr>
              <w:spacing w:line="280" w:lineRule="exact"/>
              <w:rPr>
                <w:rFonts w:ascii="宋体" w:cs="宋体"/>
                <w:sz w:val="18"/>
                <w:szCs w:val="18"/>
              </w:rPr>
            </w:pPr>
            <w:r w:rsidRPr="006C6E50">
              <w:rPr>
                <w:rFonts w:ascii="宋体" w:hAnsi="宋体" w:hint="eastAsia"/>
                <w:sz w:val="18"/>
                <w:szCs w:val="18"/>
              </w:rPr>
              <w:t>普陀区东港街道香榭街</w:t>
            </w:r>
            <w:r w:rsidRPr="006C6E50">
              <w:rPr>
                <w:rFonts w:ascii="宋体" w:hAnsi="宋体"/>
                <w:sz w:val="18"/>
                <w:szCs w:val="18"/>
              </w:rPr>
              <w:t>1</w:t>
            </w:r>
            <w:r w:rsidRPr="006C6E50">
              <w:rPr>
                <w:rFonts w:ascii="宋体" w:hAnsi="宋体" w:hint="eastAsia"/>
                <w:sz w:val="18"/>
                <w:szCs w:val="18"/>
              </w:rPr>
              <w:t>37号</w:t>
            </w:r>
          </w:p>
        </w:tc>
      </w:tr>
    </w:tbl>
    <w:p w:rsidR="00BA3138" w:rsidRPr="006C6E50" w:rsidRDefault="00BA3138" w:rsidP="00BA3138">
      <w:pPr>
        <w:spacing w:line="200" w:lineRule="exact"/>
      </w:pP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sz w:val="30"/>
          <w:szCs w:val="30"/>
        </w:rPr>
        <w:t>2</w:t>
      </w:r>
      <w:r w:rsidRPr="00727D40">
        <w:rPr>
          <w:rFonts w:ascii="仿宋" w:eastAsia="仿宋" w:hAnsi="仿宋" w:hint="eastAsia"/>
          <w:sz w:val="30"/>
          <w:szCs w:val="30"/>
        </w:rPr>
        <w:t>.总行职能部室。</w:t>
      </w:r>
      <w:r w:rsidRPr="00727D40">
        <w:rPr>
          <w:rFonts w:ascii="仿宋" w:eastAsia="仿宋" w:hAnsi="仿宋"/>
          <w:sz w:val="30"/>
          <w:szCs w:val="30"/>
        </w:rPr>
        <w:t>20</w:t>
      </w:r>
      <w:r w:rsidRPr="00727D40">
        <w:rPr>
          <w:rFonts w:ascii="仿宋" w:eastAsia="仿宋" w:hAnsi="仿宋" w:hint="eastAsia"/>
          <w:sz w:val="30"/>
          <w:szCs w:val="30"/>
        </w:rPr>
        <w:t>23年末，本行设人力资源部（党委办）、办公室（董办）、业务发展与管理部、金融市场部、计划财务部、运营管理部、风险合规部、国际业务部、审计部、安全保卫部、金融科技部、纪检办公室（监办）等</w:t>
      </w:r>
      <w:r w:rsidRPr="00727D40">
        <w:rPr>
          <w:rFonts w:ascii="仿宋" w:eastAsia="仿宋" w:hAnsi="仿宋"/>
          <w:sz w:val="30"/>
          <w:szCs w:val="30"/>
        </w:rPr>
        <w:t>1</w:t>
      </w:r>
      <w:r w:rsidRPr="00727D40">
        <w:rPr>
          <w:rFonts w:ascii="仿宋" w:eastAsia="仿宋" w:hAnsi="仿宋" w:hint="eastAsia"/>
          <w:sz w:val="30"/>
          <w:szCs w:val="30"/>
        </w:rPr>
        <w:t>2个职能部室。</w:t>
      </w: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sz w:val="30"/>
          <w:szCs w:val="30"/>
        </w:rPr>
        <w:t>3</w:t>
      </w:r>
      <w:r w:rsidRPr="00727D40">
        <w:rPr>
          <w:rFonts w:ascii="仿宋" w:eastAsia="仿宋" w:hAnsi="仿宋" w:hint="eastAsia"/>
          <w:sz w:val="30"/>
          <w:szCs w:val="30"/>
        </w:rPr>
        <w:t>.人员情况。</w:t>
      </w:r>
      <w:r w:rsidRPr="00727D40">
        <w:rPr>
          <w:rFonts w:ascii="仿宋" w:eastAsia="仿宋" w:hAnsi="仿宋"/>
          <w:sz w:val="30"/>
          <w:szCs w:val="30"/>
        </w:rPr>
        <w:t>20</w:t>
      </w:r>
      <w:r w:rsidRPr="00727D40">
        <w:rPr>
          <w:rFonts w:ascii="仿宋" w:eastAsia="仿宋" w:hAnsi="仿宋" w:hint="eastAsia"/>
          <w:sz w:val="30"/>
          <w:szCs w:val="30"/>
        </w:rPr>
        <w:t>23年末，本行共有在职员工</w:t>
      </w:r>
      <w:r w:rsidRPr="00727D40">
        <w:rPr>
          <w:rFonts w:ascii="仿宋" w:eastAsia="仿宋" w:hAnsi="仿宋"/>
          <w:sz w:val="30"/>
          <w:szCs w:val="30"/>
        </w:rPr>
        <w:t>4</w:t>
      </w:r>
      <w:r w:rsidRPr="00727D40">
        <w:rPr>
          <w:rFonts w:ascii="仿宋" w:eastAsia="仿宋" w:hAnsi="仿宋" w:hint="eastAsia"/>
          <w:sz w:val="30"/>
          <w:szCs w:val="30"/>
        </w:rPr>
        <w:t>79人，其中研究生</w:t>
      </w:r>
      <w:r w:rsidRPr="00727D40">
        <w:rPr>
          <w:rFonts w:ascii="仿宋" w:eastAsia="仿宋" w:hAnsi="仿宋"/>
          <w:sz w:val="30"/>
          <w:szCs w:val="30"/>
        </w:rPr>
        <w:t>1</w:t>
      </w:r>
      <w:r w:rsidRPr="00727D40">
        <w:rPr>
          <w:rFonts w:ascii="仿宋" w:eastAsia="仿宋" w:hAnsi="仿宋" w:hint="eastAsia"/>
          <w:sz w:val="30"/>
          <w:szCs w:val="30"/>
        </w:rPr>
        <w:t>4名，本科学历</w:t>
      </w:r>
      <w:r w:rsidRPr="00727D40">
        <w:rPr>
          <w:rFonts w:ascii="仿宋" w:eastAsia="仿宋" w:hAnsi="仿宋"/>
          <w:sz w:val="30"/>
          <w:szCs w:val="30"/>
        </w:rPr>
        <w:t>3</w:t>
      </w:r>
      <w:r w:rsidRPr="00727D40">
        <w:rPr>
          <w:rFonts w:ascii="仿宋" w:eastAsia="仿宋" w:hAnsi="仿宋" w:hint="eastAsia"/>
          <w:sz w:val="30"/>
          <w:szCs w:val="30"/>
        </w:rPr>
        <w:t>98人，大专以上学历占</w:t>
      </w:r>
      <w:r w:rsidRPr="00727D40">
        <w:rPr>
          <w:rFonts w:ascii="仿宋" w:eastAsia="仿宋" w:hAnsi="仿宋"/>
          <w:sz w:val="30"/>
          <w:szCs w:val="30"/>
        </w:rPr>
        <w:t>9</w:t>
      </w:r>
      <w:r w:rsidRPr="00727D40">
        <w:rPr>
          <w:rFonts w:ascii="仿宋" w:eastAsia="仿宋" w:hAnsi="仿宋" w:hint="eastAsia"/>
          <w:sz w:val="30"/>
          <w:szCs w:val="30"/>
        </w:rPr>
        <w:t>8</w:t>
      </w:r>
      <w:r w:rsidRPr="00727D40">
        <w:rPr>
          <w:rFonts w:ascii="仿宋" w:eastAsia="仿宋" w:hAnsi="仿宋"/>
          <w:sz w:val="30"/>
          <w:szCs w:val="30"/>
        </w:rPr>
        <w:t>.</w:t>
      </w:r>
      <w:r w:rsidRPr="00727D40">
        <w:rPr>
          <w:rFonts w:ascii="仿宋" w:eastAsia="仿宋" w:hAnsi="仿宋" w:hint="eastAsia"/>
          <w:sz w:val="30"/>
          <w:szCs w:val="30"/>
        </w:rPr>
        <w:t>75</w:t>
      </w:r>
      <w:r w:rsidRPr="00727D40">
        <w:rPr>
          <w:rFonts w:ascii="仿宋" w:eastAsia="仿宋" w:hAnsi="仿宋"/>
          <w:sz w:val="30"/>
          <w:szCs w:val="30"/>
        </w:rPr>
        <w:t>%</w:t>
      </w:r>
      <w:r w:rsidRPr="00727D40">
        <w:rPr>
          <w:rFonts w:ascii="仿宋" w:eastAsia="仿宋" w:hAnsi="仿宋" w:hint="eastAsia"/>
          <w:sz w:val="30"/>
          <w:szCs w:val="30"/>
        </w:rPr>
        <w:t>，比上年提升</w:t>
      </w:r>
      <w:r w:rsidRPr="00727D40">
        <w:rPr>
          <w:rFonts w:ascii="仿宋" w:eastAsia="仿宋" w:hAnsi="仿宋"/>
          <w:sz w:val="30"/>
          <w:szCs w:val="30"/>
        </w:rPr>
        <w:t>0.</w:t>
      </w:r>
      <w:r w:rsidRPr="00727D40">
        <w:rPr>
          <w:rFonts w:ascii="仿宋" w:eastAsia="仿宋" w:hAnsi="仿宋" w:hint="eastAsia"/>
          <w:sz w:val="30"/>
          <w:szCs w:val="30"/>
        </w:rPr>
        <w:t>19个百分点；中级以上职称91人，占</w:t>
      </w:r>
      <w:r w:rsidRPr="00727D40">
        <w:rPr>
          <w:rFonts w:ascii="仿宋" w:eastAsia="仿宋" w:hAnsi="仿宋"/>
          <w:sz w:val="30"/>
          <w:szCs w:val="30"/>
        </w:rPr>
        <w:t>1</w:t>
      </w:r>
      <w:r w:rsidRPr="00727D40">
        <w:rPr>
          <w:rFonts w:ascii="仿宋" w:eastAsia="仿宋" w:hAnsi="仿宋" w:hint="eastAsia"/>
          <w:sz w:val="30"/>
          <w:szCs w:val="30"/>
        </w:rPr>
        <w:t>9</w:t>
      </w:r>
      <w:r w:rsidRPr="00727D40">
        <w:rPr>
          <w:rFonts w:ascii="仿宋" w:eastAsia="仿宋" w:hAnsi="仿宋"/>
          <w:sz w:val="30"/>
          <w:szCs w:val="30"/>
        </w:rPr>
        <w:t>%</w:t>
      </w:r>
      <w:r w:rsidRPr="00727D40">
        <w:rPr>
          <w:rFonts w:ascii="仿宋" w:eastAsia="仿宋" w:hAnsi="仿宋" w:hint="eastAsia"/>
          <w:sz w:val="30"/>
          <w:szCs w:val="30"/>
        </w:rPr>
        <w:t>。</w:t>
      </w:r>
    </w:p>
    <w:p w:rsidR="00BA3138" w:rsidRPr="00727D40" w:rsidRDefault="00BA3138" w:rsidP="00BA3138">
      <w:pPr>
        <w:spacing w:line="500" w:lineRule="exact"/>
        <w:ind w:firstLineChars="200" w:firstLine="600"/>
        <w:rPr>
          <w:rFonts w:ascii="仿宋" w:eastAsia="仿宋" w:hAnsi="仿宋"/>
          <w:sz w:val="30"/>
          <w:szCs w:val="30"/>
        </w:rPr>
      </w:pPr>
      <w:r w:rsidRPr="00727D40">
        <w:rPr>
          <w:rFonts w:ascii="仿宋" w:eastAsia="仿宋" w:hAnsi="仿宋" w:hint="eastAsia"/>
          <w:sz w:val="30"/>
          <w:szCs w:val="30"/>
        </w:rPr>
        <w:t>4.金融科技相关情况。</w:t>
      </w:r>
      <w:r w:rsidRPr="00727D40">
        <w:rPr>
          <w:rFonts w:ascii="仿宋" w:eastAsia="仿宋" w:hAnsi="仿宋"/>
          <w:sz w:val="30"/>
          <w:szCs w:val="30"/>
        </w:rPr>
        <w:t>2023年</w:t>
      </w:r>
      <w:r w:rsidRPr="00727D40">
        <w:rPr>
          <w:rFonts w:ascii="仿宋" w:eastAsia="仿宋" w:hAnsi="仿宋" w:hint="eastAsia"/>
          <w:sz w:val="30"/>
          <w:szCs w:val="30"/>
        </w:rPr>
        <w:t>末</w:t>
      </w:r>
      <w:r w:rsidRPr="00727D40">
        <w:rPr>
          <w:rFonts w:ascii="仿宋" w:eastAsia="仿宋" w:hAnsi="仿宋"/>
          <w:sz w:val="30"/>
          <w:szCs w:val="30"/>
        </w:rPr>
        <w:t>，</w:t>
      </w:r>
      <w:r w:rsidRPr="00727D40">
        <w:rPr>
          <w:rFonts w:ascii="仿宋" w:eastAsia="仿宋" w:hAnsi="仿宋" w:hint="eastAsia"/>
          <w:sz w:val="30"/>
          <w:szCs w:val="30"/>
        </w:rPr>
        <w:t>本</w:t>
      </w:r>
      <w:r w:rsidRPr="00727D40">
        <w:rPr>
          <w:rFonts w:ascii="仿宋" w:eastAsia="仿宋" w:hAnsi="仿宋"/>
          <w:sz w:val="30"/>
          <w:szCs w:val="30"/>
        </w:rPr>
        <w:t>行</w:t>
      </w:r>
      <w:r w:rsidRPr="00727D40">
        <w:rPr>
          <w:rFonts w:ascii="仿宋" w:eastAsia="仿宋" w:hAnsi="仿宋" w:hint="eastAsia"/>
          <w:sz w:val="30"/>
          <w:szCs w:val="30"/>
        </w:rPr>
        <w:t>配置</w:t>
      </w:r>
      <w:r w:rsidRPr="00727D40">
        <w:rPr>
          <w:rFonts w:ascii="仿宋" w:eastAsia="仿宋" w:hAnsi="仿宋"/>
          <w:sz w:val="30"/>
          <w:szCs w:val="30"/>
        </w:rPr>
        <w:t>信息科技</w:t>
      </w:r>
      <w:r w:rsidRPr="00727D40">
        <w:rPr>
          <w:rFonts w:ascii="仿宋" w:eastAsia="仿宋" w:hAnsi="仿宋" w:hint="eastAsia"/>
          <w:sz w:val="30"/>
          <w:szCs w:val="30"/>
        </w:rPr>
        <w:t>人员</w:t>
      </w:r>
      <w:r w:rsidRPr="00727D40">
        <w:rPr>
          <w:rFonts w:ascii="仿宋" w:eastAsia="仿宋" w:hAnsi="仿宋"/>
          <w:sz w:val="30"/>
          <w:szCs w:val="30"/>
        </w:rPr>
        <w:t>13人，</w:t>
      </w:r>
      <w:r w:rsidRPr="00727D40">
        <w:rPr>
          <w:rFonts w:ascii="仿宋" w:eastAsia="仿宋" w:hAnsi="仿宋" w:hint="eastAsia"/>
          <w:sz w:val="30"/>
          <w:szCs w:val="30"/>
        </w:rPr>
        <w:t>比去年增加2人，</w:t>
      </w:r>
      <w:r w:rsidRPr="00727D40">
        <w:rPr>
          <w:rFonts w:ascii="仿宋" w:eastAsia="仿宋" w:hAnsi="仿宋"/>
          <w:sz w:val="30"/>
          <w:szCs w:val="30"/>
        </w:rPr>
        <w:t>科技人员占年末全行在职员工的2.71%</w:t>
      </w:r>
      <w:r w:rsidRPr="00727D40">
        <w:rPr>
          <w:rFonts w:ascii="仿宋" w:eastAsia="仿宋" w:hAnsi="仿宋" w:hint="eastAsia"/>
          <w:sz w:val="30"/>
          <w:szCs w:val="30"/>
        </w:rPr>
        <w:t>，比上年提升0</w:t>
      </w:r>
      <w:r w:rsidRPr="00727D40">
        <w:rPr>
          <w:rFonts w:ascii="仿宋" w:eastAsia="仿宋" w:hAnsi="仿宋"/>
          <w:sz w:val="30"/>
          <w:szCs w:val="30"/>
        </w:rPr>
        <w:t>.45%</w:t>
      </w:r>
      <w:r w:rsidRPr="00727D40">
        <w:rPr>
          <w:rFonts w:ascii="仿宋" w:eastAsia="仿宋" w:hAnsi="仿宋" w:hint="eastAsia"/>
          <w:sz w:val="30"/>
          <w:szCs w:val="30"/>
        </w:rPr>
        <w:t>。</w:t>
      </w:r>
      <w:r w:rsidRPr="00727D40">
        <w:rPr>
          <w:rFonts w:ascii="仿宋" w:eastAsia="仿宋" w:hAnsi="仿宋"/>
          <w:sz w:val="30"/>
          <w:szCs w:val="30"/>
        </w:rPr>
        <w:t>2023年全年科技经费</w:t>
      </w:r>
      <w:r w:rsidRPr="00727D40">
        <w:rPr>
          <w:rFonts w:ascii="仿宋" w:eastAsia="仿宋" w:hAnsi="仿宋" w:hint="eastAsia"/>
          <w:sz w:val="30"/>
          <w:szCs w:val="30"/>
        </w:rPr>
        <w:t>累计</w:t>
      </w:r>
      <w:r w:rsidRPr="00727D40">
        <w:rPr>
          <w:rFonts w:ascii="仿宋" w:eastAsia="仿宋" w:hAnsi="仿宋"/>
          <w:sz w:val="30"/>
          <w:szCs w:val="30"/>
        </w:rPr>
        <w:t>投入2769万元，其中本行自用科技经费1431万元，分摊省</w:t>
      </w:r>
      <w:r w:rsidRPr="00727D40">
        <w:rPr>
          <w:rFonts w:ascii="仿宋" w:eastAsia="仿宋" w:hAnsi="仿宋" w:hint="eastAsia"/>
          <w:sz w:val="30"/>
          <w:szCs w:val="30"/>
        </w:rPr>
        <w:t>行</w:t>
      </w:r>
      <w:r w:rsidRPr="00727D40">
        <w:rPr>
          <w:rFonts w:ascii="仿宋" w:eastAsia="仿宋" w:hAnsi="仿宋"/>
          <w:sz w:val="30"/>
          <w:szCs w:val="30"/>
        </w:rPr>
        <w:t>科技费用1338万元。</w:t>
      </w:r>
    </w:p>
    <w:p w:rsidR="00BA3138" w:rsidRPr="00CC7BFB" w:rsidRDefault="00BA3138" w:rsidP="00CC7BFB">
      <w:pPr>
        <w:widowControl/>
        <w:spacing w:line="500" w:lineRule="exact"/>
        <w:jc w:val="center"/>
        <w:rPr>
          <w:rFonts w:ascii="黑体" w:eastAsia="黑体" w:hAnsi="黑体"/>
          <w:sz w:val="30"/>
          <w:szCs w:val="30"/>
        </w:rPr>
      </w:pPr>
      <w:r w:rsidRPr="00CC7BFB">
        <w:rPr>
          <w:rFonts w:ascii="黑体" w:eastAsia="黑体" w:hAnsi="黑体" w:hint="eastAsia"/>
          <w:sz w:val="30"/>
          <w:szCs w:val="30"/>
        </w:rPr>
        <w:t xml:space="preserve">第七节  </w:t>
      </w:r>
      <w:r w:rsidRPr="00CC7BFB">
        <w:rPr>
          <w:rFonts w:ascii="黑体" w:eastAsia="黑体" w:hAnsi="黑体"/>
          <w:sz w:val="30"/>
          <w:szCs w:val="30"/>
        </w:rPr>
        <w:t>关联方关系及其交易</w:t>
      </w:r>
    </w:p>
    <w:p w:rsidR="00BA3138" w:rsidRPr="00727D40" w:rsidRDefault="00BA3138" w:rsidP="0004766E">
      <w:pPr>
        <w:tabs>
          <w:tab w:val="left" w:pos="1080"/>
          <w:tab w:val="left" w:pos="6300"/>
        </w:tabs>
        <w:topLinePunct/>
        <w:spacing w:beforeLines="50" w:line="500" w:lineRule="exact"/>
        <w:ind w:firstLineChars="200" w:firstLine="600"/>
        <w:textAlignment w:val="center"/>
        <w:rPr>
          <w:rFonts w:ascii="仿宋" w:eastAsia="仿宋" w:hAnsi="仿宋"/>
          <w:sz w:val="30"/>
          <w:szCs w:val="30"/>
        </w:rPr>
      </w:pPr>
      <w:r w:rsidRPr="00727D40">
        <w:rPr>
          <w:rFonts w:ascii="仿宋" w:eastAsia="仿宋" w:hAnsi="仿宋" w:hint="eastAsia"/>
          <w:sz w:val="30"/>
          <w:szCs w:val="30"/>
        </w:rPr>
        <w:t>（一）</w:t>
      </w:r>
      <w:r w:rsidRPr="00727D40">
        <w:rPr>
          <w:rFonts w:ascii="仿宋" w:eastAsia="仿宋" w:hAnsi="仿宋"/>
          <w:sz w:val="30"/>
          <w:szCs w:val="30"/>
        </w:rPr>
        <w:t>本行关联方范围</w:t>
      </w:r>
      <w:r w:rsidRPr="00727D40">
        <w:rPr>
          <w:rFonts w:ascii="仿宋" w:eastAsia="仿宋" w:hAnsi="仿宋" w:hint="eastAsia"/>
          <w:sz w:val="30"/>
          <w:szCs w:val="30"/>
        </w:rPr>
        <w:t>。</w:t>
      </w:r>
      <w:r w:rsidRPr="00727D40">
        <w:rPr>
          <w:rFonts w:ascii="仿宋" w:eastAsia="仿宋" w:hAnsi="仿宋"/>
          <w:sz w:val="30"/>
          <w:szCs w:val="30"/>
        </w:rPr>
        <w:t>本行关联方包括自然人、法人和其他组织。</w:t>
      </w:r>
    </w:p>
    <w:p w:rsidR="00BA3138" w:rsidRPr="00727D40" w:rsidRDefault="00BA3138" w:rsidP="00BA3138">
      <w:pPr>
        <w:topLinePunct/>
        <w:spacing w:line="500" w:lineRule="exact"/>
        <w:ind w:firstLineChars="200" w:firstLine="600"/>
        <w:textAlignment w:val="center"/>
        <w:rPr>
          <w:rFonts w:ascii="仿宋" w:eastAsia="仿宋" w:hAnsi="仿宋"/>
          <w:sz w:val="30"/>
          <w:szCs w:val="30"/>
        </w:rPr>
      </w:pPr>
      <w:r w:rsidRPr="00727D40">
        <w:rPr>
          <w:rFonts w:ascii="仿宋" w:eastAsia="仿宋" w:hAnsi="仿宋"/>
          <w:sz w:val="30"/>
          <w:szCs w:val="30"/>
        </w:rPr>
        <w:t>关联自然人包括：1</w:t>
      </w:r>
      <w:r w:rsidRPr="00727D40">
        <w:rPr>
          <w:rFonts w:ascii="仿宋" w:eastAsia="仿宋" w:hAnsi="仿宋" w:hint="eastAsia"/>
          <w:sz w:val="30"/>
          <w:szCs w:val="30"/>
        </w:rPr>
        <w:t>、</w:t>
      </w:r>
      <w:r w:rsidRPr="00727D40">
        <w:rPr>
          <w:rFonts w:ascii="仿宋" w:eastAsia="仿宋" w:hAnsi="仿宋"/>
          <w:sz w:val="30"/>
          <w:szCs w:val="30"/>
        </w:rPr>
        <w:t>本行的自然人控股股东、实际控制人，及其一致行动人、最终受益人；2</w:t>
      </w:r>
      <w:r w:rsidRPr="00727D40">
        <w:rPr>
          <w:rFonts w:ascii="仿宋" w:eastAsia="仿宋" w:hAnsi="仿宋" w:hint="eastAsia"/>
          <w:sz w:val="30"/>
          <w:szCs w:val="30"/>
        </w:rPr>
        <w:t>、</w:t>
      </w:r>
      <w:r w:rsidRPr="00727D40">
        <w:rPr>
          <w:rFonts w:ascii="仿宋" w:eastAsia="仿宋" w:hAnsi="仿宋"/>
          <w:sz w:val="30"/>
          <w:szCs w:val="30"/>
        </w:rPr>
        <w:t>本行的内部人，包括本行的董事会成员、</w:t>
      </w:r>
      <w:r w:rsidRPr="00727D40">
        <w:rPr>
          <w:rFonts w:ascii="仿宋" w:eastAsia="仿宋" w:hAnsi="仿宋"/>
          <w:sz w:val="30"/>
          <w:szCs w:val="30"/>
        </w:rPr>
        <w:lastRenderedPageBreak/>
        <w:t>监事会成员、总行和支行的高级管理人员，以及具有大额授信、资产转移运用等核心业务审批或决策权的人员（含客户经理)；3</w:t>
      </w:r>
      <w:r w:rsidRPr="00727D40">
        <w:rPr>
          <w:rFonts w:ascii="仿宋" w:eastAsia="仿宋" w:hAnsi="仿宋" w:hint="eastAsia"/>
          <w:sz w:val="30"/>
          <w:szCs w:val="30"/>
        </w:rPr>
        <w:t>、</w:t>
      </w:r>
      <w:r w:rsidRPr="00727D40">
        <w:rPr>
          <w:rFonts w:ascii="仿宋" w:eastAsia="仿宋" w:hAnsi="仿宋"/>
          <w:sz w:val="30"/>
          <w:szCs w:val="30"/>
        </w:rPr>
        <w:t>本行的主要自然人股东，是指持有或控制本行5%以上股份的自然人股东，或持股不足5%但对本行经营管理有重大影响的自然人。自然人股东的近亲属持有或控制的股份或表决权应当与该自然人股东持有或控制的股份或表决权合并计算；4</w:t>
      </w:r>
      <w:r w:rsidRPr="00727D40">
        <w:rPr>
          <w:rFonts w:ascii="仿宋" w:eastAsia="仿宋" w:hAnsi="仿宋" w:hint="eastAsia"/>
          <w:sz w:val="30"/>
          <w:szCs w:val="30"/>
        </w:rPr>
        <w:t>、</w:t>
      </w:r>
      <w:r w:rsidRPr="00727D40">
        <w:rPr>
          <w:rFonts w:ascii="仿宋" w:eastAsia="仿宋" w:hAnsi="仿宋"/>
          <w:sz w:val="30"/>
          <w:szCs w:val="30"/>
        </w:rPr>
        <w:t>本行的自然人控股股东、实际控制人，及其一致行动人、最终受益人、本行的内部人和主要自然人股东的近亲属，包括配偶、父母、成年子女及兄弟姐妹；5</w:t>
      </w:r>
      <w:r w:rsidRPr="00727D40">
        <w:rPr>
          <w:rFonts w:ascii="仿宋" w:eastAsia="仿宋" w:hAnsi="仿宋" w:hint="eastAsia"/>
          <w:sz w:val="30"/>
          <w:szCs w:val="30"/>
        </w:rPr>
        <w:t>、</w:t>
      </w:r>
      <w:r w:rsidRPr="00727D40">
        <w:rPr>
          <w:rFonts w:ascii="仿宋" w:eastAsia="仿宋" w:hAnsi="仿宋"/>
          <w:sz w:val="30"/>
          <w:szCs w:val="30"/>
        </w:rPr>
        <w:t>本行的关联法人或其他组织的控股自然人股东、董事、监事、高级管理人员。本项所指关联法人或其他组织不包括本行的内部人与主要自然人股东及其近亲属直接、间接、共同控制或可施加重大影响的法人或其他组织；6</w:t>
      </w:r>
      <w:r w:rsidRPr="00727D40">
        <w:rPr>
          <w:rFonts w:ascii="仿宋" w:eastAsia="仿宋" w:hAnsi="仿宋" w:hint="eastAsia"/>
          <w:sz w:val="30"/>
          <w:szCs w:val="30"/>
        </w:rPr>
        <w:t>、</w:t>
      </w:r>
      <w:r w:rsidRPr="00727D40">
        <w:rPr>
          <w:rFonts w:ascii="仿宋" w:eastAsia="仿宋" w:hAnsi="仿宋"/>
          <w:sz w:val="30"/>
          <w:szCs w:val="30"/>
        </w:rPr>
        <w:t>对本行有重大影响的其他自然人。</w:t>
      </w:r>
    </w:p>
    <w:p w:rsidR="00BA3138" w:rsidRPr="00727D40" w:rsidRDefault="00BA3138" w:rsidP="00BA3138">
      <w:pPr>
        <w:topLinePunct/>
        <w:spacing w:line="500" w:lineRule="exact"/>
        <w:ind w:firstLineChars="200" w:firstLine="600"/>
        <w:textAlignment w:val="center"/>
        <w:rPr>
          <w:rFonts w:ascii="仿宋" w:eastAsia="仿宋" w:hAnsi="仿宋"/>
          <w:sz w:val="30"/>
          <w:szCs w:val="30"/>
        </w:rPr>
      </w:pPr>
      <w:bookmarkStart w:id="0" w:name="_Hlk124446856"/>
      <w:r w:rsidRPr="00727D40">
        <w:rPr>
          <w:rFonts w:ascii="仿宋" w:eastAsia="仿宋" w:hAnsi="仿宋"/>
          <w:sz w:val="30"/>
          <w:szCs w:val="30"/>
        </w:rPr>
        <w:t>关联法人或非法人组织</w:t>
      </w:r>
      <w:bookmarkEnd w:id="0"/>
      <w:r w:rsidRPr="00727D40">
        <w:rPr>
          <w:rFonts w:ascii="仿宋" w:eastAsia="仿宋" w:hAnsi="仿宋"/>
          <w:sz w:val="30"/>
          <w:szCs w:val="30"/>
        </w:rPr>
        <w:t>包括：1</w:t>
      </w:r>
      <w:r w:rsidRPr="00727D40">
        <w:rPr>
          <w:rFonts w:ascii="仿宋" w:eastAsia="仿宋" w:hAnsi="仿宋" w:hint="eastAsia"/>
          <w:sz w:val="30"/>
          <w:szCs w:val="30"/>
        </w:rPr>
        <w:t>、</w:t>
      </w:r>
      <w:r w:rsidRPr="00727D40">
        <w:rPr>
          <w:rFonts w:ascii="仿宋" w:eastAsia="仿宋" w:hAnsi="仿宋"/>
          <w:sz w:val="30"/>
          <w:szCs w:val="30"/>
        </w:rPr>
        <w:t>本行的法人控股股东、实际控制人，及其一致行动人、最终受益人；2</w:t>
      </w:r>
      <w:r w:rsidRPr="00727D40">
        <w:rPr>
          <w:rFonts w:ascii="仿宋" w:eastAsia="仿宋" w:hAnsi="仿宋" w:hint="eastAsia"/>
          <w:sz w:val="30"/>
          <w:szCs w:val="30"/>
        </w:rPr>
        <w:t>、</w:t>
      </w:r>
      <w:r w:rsidRPr="00727D40">
        <w:rPr>
          <w:rFonts w:ascii="仿宋" w:eastAsia="仿宋" w:hAnsi="仿宋"/>
          <w:sz w:val="30"/>
          <w:szCs w:val="30"/>
        </w:rPr>
        <w:t>持有或控制本行5%以上股权的，或者持股不足5%但对本行经营管理有重大影响的法人或非法人组织，及其控股股东、实际控制人、一致行动人、最终受益人；3</w:t>
      </w:r>
      <w:r w:rsidRPr="00727D40">
        <w:rPr>
          <w:rFonts w:ascii="仿宋" w:eastAsia="仿宋" w:hAnsi="仿宋" w:hint="eastAsia"/>
          <w:sz w:val="30"/>
          <w:szCs w:val="30"/>
        </w:rPr>
        <w:t>、</w:t>
      </w:r>
      <w:r w:rsidRPr="00727D40">
        <w:rPr>
          <w:rFonts w:ascii="仿宋" w:eastAsia="仿宋" w:hAnsi="仿宋"/>
          <w:sz w:val="30"/>
          <w:szCs w:val="30"/>
        </w:rPr>
        <w:t>本行的法人控股股东、实际控制人，及其一致行动人、最终受益人控制或施加重大影响的法人或非法人组织；持有或控制本行5%以上股权的，或者持股不足5%但对本行经营管理有重大影响的法人或非法人组织，及其控股股东、实际控制人、一致行动人、最终受益人控制的法人或非法人组织；4</w:t>
      </w:r>
      <w:r w:rsidRPr="00727D40">
        <w:rPr>
          <w:rFonts w:ascii="仿宋" w:eastAsia="仿宋" w:hAnsi="仿宋" w:hint="eastAsia"/>
          <w:sz w:val="30"/>
          <w:szCs w:val="30"/>
        </w:rPr>
        <w:t>、</w:t>
      </w:r>
      <w:r w:rsidRPr="00727D40">
        <w:rPr>
          <w:rFonts w:ascii="仿宋" w:eastAsia="仿宋" w:hAnsi="仿宋"/>
          <w:sz w:val="30"/>
          <w:szCs w:val="30"/>
        </w:rPr>
        <w:t>本行控制或施加重大影响的法人或非法人组织；5</w:t>
      </w:r>
      <w:r w:rsidRPr="00727D40">
        <w:rPr>
          <w:rFonts w:ascii="仿宋" w:eastAsia="仿宋" w:hAnsi="仿宋" w:hint="eastAsia"/>
          <w:sz w:val="30"/>
          <w:szCs w:val="30"/>
        </w:rPr>
        <w:t>、</w:t>
      </w:r>
      <w:r w:rsidRPr="00727D40">
        <w:rPr>
          <w:rFonts w:ascii="仿宋" w:eastAsia="仿宋" w:hAnsi="仿宋"/>
          <w:sz w:val="30"/>
          <w:szCs w:val="30"/>
        </w:rPr>
        <w:t>本行的自然人控股股东、实际控制人，及其一致行动人、最终受益人控制或施加重大影响的法人或非法人组织；本行的内部人、本行的主要自然人股东、本行内部人及自然人股东的近亲属控制的法人或非法人组织。</w:t>
      </w:r>
    </w:p>
    <w:p w:rsidR="00BA3138" w:rsidRPr="00727D40" w:rsidRDefault="00BA3138" w:rsidP="00BA3138">
      <w:pPr>
        <w:tabs>
          <w:tab w:val="left" w:pos="1080"/>
          <w:tab w:val="left" w:pos="6300"/>
        </w:tabs>
        <w:topLinePunct/>
        <w:spacing w:line="500" w:lineRule="exact"/>
        <w:ind w:firstLineChars="200" w:firstLine="600"/>
        <w:textAlignment w:val="center"/>
        <w:rPr>
          <w:rFonts w:ascii="仿宋" w:eastAsia="仿宋" w:hAnsi="仿宋"/>
          <w:sz w:val="30"/>
          <w:szCs w:val="30"/>
        </w:rPr>
      </w:pPr>
      <w:r w:rsidRPr="00727D40">
        <w:rPr>
          <w:rFonts w:ascii="仿宋" w:eastAsia="仿宋" w:hAnsi="仿宋" w:hint="eastAsia"/>
          <w:sz w:val="30"/>
          <w:szCs w:val="30"/>
        </w:rPr>
        <w:t>（二）</w:t>
      </w:r>
      <w:r w:rsidRPr="00727D40">
        <w:rPr>
          <w:rFonts w:ascii="仿宋" w:eastAsia="仿宋" w:hAnsi="仿宋"/>
          <w:sz w:val="30"/>
          <w:szCs w:val="30"/>
        </w:rPr>
        <w:t>存在控制关系的关联方</w:t>
      </w:r>
      <w:r w:rsidRPr="00727D40">
        <w:rPr>
          <w:rFonts w:ascii="仿宋" w:eastAsia="仿宋" w:hAnsi="仿宋" w:hint="eastAsia"/>
          <w:sz w:val="30"/>
          <w:szCs w:val="30"/>
        </w:rPr>
        <w:t>。</w:t>
      </w:r>
      <w:r w:rsidRPr="00727D40">
        <w:rPr>
          <w:rFonts w:ascii="仿宋" w:eastAsia="仿宋" w:hAnsi="仿宋"/>
          <w:sz w:val="30"/>
          <w:szCs w:val="30"/>
        </w:rPr>
        <w:t>本行不存在具有控制关系的关联方。</w:t>
      </w:r>
    </w:p>
    <w:p w:rsidR="00BA3138" w:rsidRPr="00727D40" w:rsidRDefault="00BA3138" w:rsidP="00BA3138">
      <w:pPr>
        <w:tabs>
          <w:tab w:val="left" w:pos="1080"/>
          <w:tab w:val="left" w:pos="6300"/>
        </w:tabs>
        <w:topLinePunct/>
        <w:spacing w:line="500" w:lineRule="exact"/>
        <w:ind w:firstLineChars="200" w:firstLine="600"/>
        <w:textAlignment w:val="center"/>
        <w:rPr>
          <w:rFonts w:ascii="仿宋" w:eastAsia="仿宋" w:hAnsi="仿宋"/>
          <w:sz w:val="30"/>
          <w:szCs w:val="30"/>
        </w:rPr>
      </w:pPr>
      <w:r w:rsidRPr="00727D40">
        <w:rPr>
          <w:rFonts w:ascii="仿宋" w:eastAsia="仿宋" w:hAnsi="仿宋" w:hint="eastAsia"/>
          <w:sz w:val="30"/>
          <w:szCs w:val="30"/>
        </w:rPr>
        <w:t>（三）</w:t>
      </w:r>
      <w:r w:rsidRPr="00727D40">
        <w:rPr>
          <w:rFonts w:ascii="仿宋" w:eastAsia="仿宋" w:hAnsi="仿宋"/>
          <w:sz w:val="30"/>
          <w:szCs w:val="30"/>
        </w:rPr>
        <w:t>重大关联方交易情况</w:t>
      </w:r>
    </w:p>
    <w:p w:rsidR="00BA3138" w:rsidRPr="00727D40" w:rsidRDefault="00BA3138" w:rsidP="00BA3138">
      <w:pPr>
        <w:topLinePunct/>
        <w:spacing w:line="500" w:lineRule="exact"/>
        <w:ind w:firstLineChars="200" w:firstLine="600"/>
        <w:textAlignment w:val="center"/>
        <w:rPr>
          <w:rFonts w:ascii="仿宋" w:eastAsia="仿宋" w:hAnsi="仿宋"/>
          <w:sz w:val="30"/>
          <w:szCs w:val="30"/>
        </w:rPr>
      </w:pPr>
      <w:r w:rsidRPr="00727D40">
        <w:rPr>
          <w:rFonts w:ascii="仿宋" w:eastAsia="仿宋" w:hAnsi="仿宋"/>
          <w:sz w:val="30"/>
          <w:szCs w:val="30"/>
        </w:rPr>
        <w:t>（1）截止2023年末，单笔交易金额占上季末资本净额的1%以上</w:t>
      </w:r>
      <w:r w:rsidRPr="00727D40">
        <w:rPr>
          <w:rFonts w:ascii="仿宋" w:eastAsia="仿宋" w:hAnsi="仿宋"/>
          <w:sz w:val="30"/>
          <w:szCs w:val="30"/>
        </w:rPr>
        <w:lastRenderedPageBreak/>
        <w:t>的重大关联方交易如下：</w:t>
      </w:r>
    </w:p>
    <w:tbl>
      <w:tblPr>
        <w:tblW w:w="0" w:type="auto"/>
        <w:jc w:val="right"/>
        <w:tblBorders>
          <w:top w:val="single" w:sz="4" w:space="0" w:color="98C698"/>
          <w:bottom w:val="single" w:sz="4" w:space="0" w:color="98C698"/>
          <w:insideH w:val="single" w:sz="4" w:space="0" w:color="98C698"/>
          <w:insideV w:val="single" w:sz="4" w:space="0" w:color="98C698"/>
        </w:tblBorders>
        <w:tblLook w:val="04A0"/>
      </w:tblPr>
      <w:tblGrid>
        <w:gridCol w:w="817"/>
        <w:gridCol w:w="3544"/>
        <w:gridCol w:w="1984"/>
        <w:gridCol w:w="1701"/>
        <w:gridCol w:w="959"/>
      </w:tblGrid>
      <w:tr w:rsidR="00BA3138" w:rsidRPr="006C6E50" w:rsidTr="00025338">
        <w:trPr>
          <w:trHeight w:val="897"/>
          <w:jc w:val="right"/>
        </w:trPr>
        <w:tc>
          <w:tcPr>
            <w:tcW w:w="817" w:type="dxa"/>
            <w:vAlign w:val="center"/>
          </w:tcPr>
          <w:p w:rsidR="00BA3138" w:rsidRPr="000A3E79" w:rsidRDefault="00BA3138" w:rsidP="00025338">
            <w:pPr>
              <w:topLinePunct/>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序号</w:t>
            </w:r>
          </w:p>
        </w:tc>
        <w:tc>
          <w:tcPr>
            <w:tcW w:w="3544" w:type="dxa"/>
            <w:vAlign w:val="center"/>
          </w:tcPr>
          <w:p w:rsidR="00BA3138" w:rsidRPr="000A3E79" w:rsidRDefault="00BA3138" w:rsidP="00025338">
            <w:pPr>
              <w:topLinePunct/>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关联方名称</w:t>
            </w:r>
          </w:p>
        </w:tc>
        <w:tc>
          <w:tcPr>
            <w:tcW w:w="1984" w:type="dxa"/>
            <w:vAlign w:val="center"/>
          </w:tcPr>
          <w:p w:rsidR="00BA3138" w:rsidRPr="000A3E79" w:rsidRDefault="00BA3138" w:rsidP="00025338">
            <w:pPr>
              <w:topLinePunct/>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贷款余额</w:t>
            </w:r>
          </w:p>
        </w:tc>
        <w:tc>
          <w:tcPr>
            <w:tcW w:w="1701" w:type="dxa"/>
            <w:vAlign w:val="center"/>
          </w:tcPr>
          <w:p w:rsidR="00BA3138" w:rsidRPr="000A3E79" w:rsidRDefault="00BA3138" w:rsidP="00025338">
            <w:pPr>
              <w:topLinePunct/>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贷款占上季末资本净额的比例</w:t>
            </w:r>
          </w:p>
        </w:tc>
        <w:tc>
          <w:tcPr>
            <w:tcW w:w="959" w:type="dxa"/>
            <w:vAlign w:val="center"/>
          </w:tcPr>
          <w:p w:rsidR="00BA3138" w:rsidRPr="000A3E79" w:rsidRDefault="00BA3138" w:rsidP="00025338">
            <w:pPr>
              <w:topLinePunct/>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五级</w:t>
            </w:r>
          </w:p>
          <w:p w:rsidR="00BA3138" w:rsidRPr="000A3E79" w:rsidRDefault="00BA3138" w:rsidP="00025338">
            <w:pPr>
              <w:topLinePunct/>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分类</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w:t>
            </w:r>
          </w:p>
        </w:tc>
        <w:tc>
          <w:tcPr>
            <w:tcW w:w="3544"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舟山东海之滨假日酒店有限公司</w:t>
            </w:r>
          </w:p>
        </w:tc>
        <w:tc>
          <w:tcPr>
            <w:tcW w:w="1984"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2,592.89</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1.01%</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关注</w:t>
            </w:r>
          </w:p>
        </w:tc>
      </w:tr>
    </w:tbl>
    <w:p w:rsidR="00BA3138" w:rsidRPr="003421AD" w:rsidRDefault="00BA3138" w:rsidP="00BA3138">
      <w:pPr>
        <w:tabs>
          <w:tab w:val="left" w:pos="1080"/>
          <w:tab w:val="left" w:pos="6300"/>
        </w:tabs>
        <w:topLinePunct/>
        <w:adjustRightInd w:val="0"/>
        <w:spacing w:line="500" w:lineRule="exact"/>
        <w:ind w:firstLineChars="200" w:firstLine="600"/>
        <w:textAlignment w:val="center"/>
        <w:outlineLvl w:val="2"/>
        <w:rPr>
          <w:rFonts w:ascii="仿宋" w:eastAsia="仿宋" w:hAnsi="仿宋"/>
          <w:sz w:val="30"/>
          <w:szCs w:val="30"/>
        </w:rPr>
      </w:pPr>
      <w:r w:rsidRPr="003421AD">
        <w:rPr>
          <w:rFonts w:ascii="仿宋" w:eastAsia="仿宋" w:hAnsi="仿宋"/>
          <w:sz w:val="30"/>
          <w:szCs w:val="30"/>
        </w:rPr>
        <w:t>（2）截止2023年末，本行无累计交易余额占上季末资本净额的5%以上的重大关联方交易。</w:t>
      </w:r>
    </w:p>
    <w:p w:rsidR="00BA3138" w:rsidRPr="003421AD" w:rsidRDefault="00BA3138" w:rsidP="00BA3138">
      <w:pPr>
        <w:tabs>
          <w:tab w:val="left" w:pos="1080"/>
          <w:tab w:val="left" w:pos="6300"/>
        </w:tabs>
        <w:topLinePunct/>
        <w:adjustRightInd w:val="0"/>
        <w:spacing w:line="500" w:lineRule="exact"/>
        <w:ind w:firstLineChars="200" w:firstLine="600"/>
        <w:textAlignment w:val="center"/>
        <w:outlineLvl w:val="2"/>
        <w:rPr>
          <w:rFonts w:ascii="仿宋" w:eastAsia="仿宋" w:hAnsi="仿宋"/>
          <w:sz w:val="30"/>
          <w:szCs w:val="30"/>
        </w:rPr>
      </w:pPr>
      <w:r w:rsidRPr="003421AD">
        <w:rPr>
          <w:rFonts w:ascii="仿宋" w:eastAsia="仿宋" w:hAnsi="仿宋" w:hint="eastAsia"/>
          <w:sz w:val="30"/>
          <w:szCs w:val="30"/>
        </w:rPr>
        <w:t>（四）</w:t>
      </w:r>
      <w:r w:rsidRPr="003421AD">
        <w:rPr>
          <w:rFonts w:ascii="仿宋" w:eastAsia="仿宋" w:hAnsi="仿宋"/>
          <w:sz w:val="30"/>
          <w:szCs w:val="30"/>
        </w:rPr>
        <w:t>一般关联交易情况</w:t>
      </w:r>
    </w:p>
    <w:p w:rsidR="00BA3138" w:rsidRPr="003421AD" w:rsidRDefault="00BA3138" w:rsidP="00BA3138">
      <w:pPr>
        <w:tabs>
          <w:tab w:val="left" w:pos="1080"/>
          <w:tab w:val="left" w:pos="6300"/>
        </w:tabs>
        <w:topLinePunct/>
        <w:adjustRightInd w:val="0"/>
        <w:spacing w:line="500" w:lineRule="exact"/>
        <w:ind w:firstLineChars="200" w:firstLine="600"/>
        <w:textAlignment w:val="center"/>
        <w:outlineLvl w:val="2"/>
        <w:rPr>
          <w:rFonts w:ascii="仿宋" w:eastAsia="仿宋" w:hAnsi="仿宋"/>
          <w:sz w:val="30"/>
          <w:szCs w:val="30"/>
        </w:rPr>
      </w:pPr>
      <w:r w:rsidRPr="003421AD">
        <w:rPr>
          <w:rFonts w:ascii="仿宋" w:eastAsia="仿宋" w:hAnsi="仿宋"/>
          <w:sz w:val="30"/>
          <w:szCs w:val="30"/>
        </w:rPr>
        <w:t>1</w:t>
      </w:r>
      <w:r w:rsidRPr="003421AD">
        <w:rPr>
          <w:rFonts w:ascii="仿宋" w:eastAsia="仿宋" w:hAnsi="仿宋" w:hint="eastAsia"/>
          <w:sz w:val="30"/>
          <w:szCs w:val="30"/>
        </w:rPr>
        <w:t>、</w:t>
      </w:r>
      <w:r w:rsidRPr="003421AD">
        <w:rPr>
          <w:rFonts w:ascii="仿宋" w:eastAsia="仿宋" w:hAnsi="仿宋"/>
          <w:sz w:val="30"/>
          <w:szCs w:val="30"/>
        </w:rPr>
        <w:t>一般关联交易概况</w:t>
      </w:r>
      <w:r w:rsidRPr="003421AD">
        <w:rPr>
          <w:rFonts w:ascii="仿宋" w:eastAsia="仿宋" w:hAnsi="仿宋" w:hint="eastAsia"/>
          <w:sz w:val="30"/>
          <w:szCs w:val="30"/>
        </w:rPr>
        <w:t>。</w:t>
      </w:r>
      <w:r w:rsidRPr="003421AD">
        <w:rPr>
          <w:rFonts w:ascii="仿宋" w:eastAsia="仿宋" w:hAnsi="仿宋"/>
          <w:sz w:val="30"/>
          <w:szCs w:val="30"/>
        </w:rPr>
        <w:t>截止2023年末，</w:t>
      </w:r>
      <w:r w:rsidRPr="003421AD">
        <w:rPr>
          <w:rFonts w:ascii="仿宋" w:eastAsia="仿宋" w:hAnsi="仿宋" w:hint="eastAsia"/>
          <w:sz w:val="30"/>
          <w:szCs w:val="30"/>
        </w:rPr>
        <w:t>本</w:t>
      </w:r>
      <w:r w:rsidRPr="003421AD">
        <w:rPr>
          <w:rFonts w:ascii="仿宋" w:eastAsia="仿宋" w:hAnsi="仿宋"/>
          <w:sz w:val="30"/>
          <w:szCs w:val="30"/>
        </w:rPr>
        <w:t>行尚有余额的关联方交易客户33户，关联方贷款余额30,762.17万元，占上季末资本净额255,750.43万元的12.03%。</w:t>
      </w:r>
    </w:p>
    <w:p w:rsidR="00BA3138" w:rsidRPr="003421AD" w:rsidRDefault="00BA3138" w:rsidP="00BA3138">
      <w:pPr>
        <w:tabs>
          <w:tab w:val="left" w:pos="1080"/>
          <w:tab w:val="left" w:pos="6300"/>
        </w:tabs>
        <w:topLinePunct/>
        <w:adjustRightInd w:val="0"/>
        <w:spacing w:line="500" w:lineRule="exact"/>
        <w:ind w:firstLineChars="200" w:firstLine="600"/>
        <w:textAlignment w:val="center"/>
        <w:outlineLvl w:val="2"/>
        <w:rPr>
          <w:rFonts w:ascii="仿宋" w:eastAsia="仿宋" w:hAnsi="仿宋"/>
          <w:sz w:val="30"/>
          <w:szCs w:val="30"/>
        </w:rPr>
      </w:pPr>
      <w:r w:rsidRPr="003421AD">
        <w:rPr>
          <w:rFonts w:ascii="仿宋" w:eastAsia="仿宋" w:hAnsi="仿宋"/>
          <w:sz w:val="30"/>
          <w:szCs w:val="30"/>
        </w:rPr>
        <w:t>2</w:t>
      </w:r>
      <w:r w:rsidRPr="003421AD">
        <w:rPr>
          <w:rFonts w:ascii="仿宋" w:eastAsia="仿宋" w:hAnsi="仿宋" w:hint="eastAsia"/>
          <w:sz w:val="30"/>
          <w:szCs w:val="30"/>
        </w:rPr>
        <w:t>、</w:t>
      </w:r>
      <w:r w:rsidRPr="003421AD">
        <w:rPr>
          <w:rFonts w:ascii="仿宋" w:eastAsia="仿宋" w:hAnsi="仿宋"/>
          <w:sz w:val="30"/>
          <w:szCs w:val="30"/>
        </w:rPr>
        <w:t>需披露的一般关联交易情况</w:t>
      </w:r>
      <w:r w:rsidRPr="003421AD">
        <w:rPr>
          <w:rFonts w:ascii="仿宋" w:eastAsia="仿宋" w:hAnsi="仿宋" w:hint="eastAsia"/>
          <w:sz w:val="30"/>
          <w:szCs w:val="30"/>
        </w:rPr>
        <w:t>。</w:t>
      </w:r>
      <w:r w:rsidRPr="003421AD">
        <w:rPr>
          <w:rFonts w:ascii="仿宋" w:eastAsia="仿宋" w:hAnsi="仿宋"/>
          <w:sz w:val="30"/>
          <w:szCs w:val="30"/>
        </w:rPr>
        <w:t>截止2023年末，与关联自然人单笔交易额在50万元以上或与关联法人单笔交易额在500万元以上的关联交易，且交易后累计未达到重大关联交易标准的一般关联交易余额如下表</w:t>
      </w:r>
      <w:r w:rsidRPr="003421AD">
        <w:rPr>
          <w:rFonts w:ascii="仿宋" w:eastAsia="仿宋" w:hAnsi="仿宋" w:hint="eastAsia"/>
          <w:sz w:val="30"/>
          <w:szCs w:val="30"/>
        </w:rPr>
        <w:t>：</w:t>
      </w:r>
    </w:p>
    <w:tbl>
      <w:tblPr>
        <w:tblW w:w="0" w:type="auto"/>
        <w:jc w:val="right"/>
        <w:tblBorders>
          <w:top w:val="single" w:sz="4" w:space="0" w:color="98C698"/>
          <w:bottom w:val="single" w:sz="4" w:space="0" w:color="98C698"/>
          <w:insideH w:val="single" w:sz="4" w:space="0" w:color="98C698"/>
          <w:insideV w:val="single" w:sz="4" w:space="0" w:color="98C698"/>
        </w:tblBorders>
        <w:tblLook w:val="04A0"/>
      </w:tblPr>
      <w:tblGrid>
        <w:gridCol w:w="817"/>
        <w:gridCol w:w="3827"/>
        <w:gridCol w:w="1701"/>
        <w:gridCol w:w="1701"/>
        <w:gridCol w:w="959"/>
      </w:tblGrid>
      <w:tr w:rsidR="00BA3138" w:rsidRPr="006C6E50" w:rsidTr="00025338">
        <w:trPr>
          <w:tblHeade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序号</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关联方名称</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贷款余额</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贷款占上季末资本净额的比例</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五级</w:t>
            </w:r>
          </w:p>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分类</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 w:val="18"/>
                <w:szCs w:val="18"/>
              </w:rPr>
            </w:pPr>
            <w:r w:rsidRPr="000A3E79">
              <w:rPr>
                <w:rFonts w:ascii="仿宋_GB2312" w:eastAsia="仿宋_GB2312" w:hAnsi="仿宋_GB2312" w:cs="仿宋_GB2312"/>
                <w:sz w:val="18"/>
                <w:szCs w:val="18"/>
              </w:rPr>
              <w:t>舟山市正山智能制造科技股份有限公司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5,600.00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2.19%</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舟山市正茂机械制造有限公司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1,500.00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0.59%</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3</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舟山市正寅机械制造有限公司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1,000.00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0.39%</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4</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舟山市正源标准件有限公司[注2]</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1,550.00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0.61%</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（正山智能）集团合计</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9,650.00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3.77%</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5</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舟山东海之滨假日酒店有限公司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4,532.89</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1.77%</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关注</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6</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浙江天海置业发展有限公司[注3]</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488.00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0.19%</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7</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浙江东海酒业有限公司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1,000.00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0.39%</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（东海之滨）集团合计</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6,020.89</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2.35%</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8</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浙江鑫旺食品有限公司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4,000.00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1.56%</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9</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舟山海特力水产有限公司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800.00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0.31%</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10</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翁永妙</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860.00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0.34%</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lastRenderedPageBreak/>
              <w:t>11</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虞翠红</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55.41</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0.02%</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（鑫旺食品）集团合计</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5,715.41</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2.23%</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12</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舟山市普陀海汇水产有限公司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3,400.00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1.33%</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13</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胡建杰</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750.00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0.29%</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（海汇水产）集团合计</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4,150.00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1.62%</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14</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舟山华泽水产食品有限公司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1,800.00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0.70%</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15</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张舟杰</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895.00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0.35%</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（华泽水产）集团合计</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2,695.00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1.05%</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16</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林杰</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995.00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0.39%</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17</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周增全</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870.00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0.34%</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18</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舟山普陀昌宏水产有限公司</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600.00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0.23%</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19</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徐豪廷</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134.00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0.05%</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20</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张舟依</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88.00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0.03%</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21</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章雪</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68.80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0.03%</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22</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王玲跃</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66.70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0.03%</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23</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周卡丽</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64.13</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0.03%</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r w:rsidR="00BA3138" w:rsidRPr="006C6E50" w:rsidTr="00025338">
        <w:trPr>
          <w:jc w:val="right"/>
        </w:trPr>
        <w:tc>
          <w:tcPr>
            <w:tcW w:w="81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24</w:t>
            </w:r>
          </w:p>
        </w:tc>
        <w:tc>
          <w:tcPr>
            <w:tcW w:w="3827"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朱海燕</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55.00</w:t>
            </w:r>
          </w:p>
        </w:tc>
        <w:tc>
          <w:tcPr>
            <w:tcW w:w="1701"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0.02%</w:t>
            </w:r>
          </w:p>
        </w:tc>
        <w:tc>
          <w:tcPr>
            <w:tcW w:w="959" w:type="dxa"/>
            <w:vAlign w:val="center"/>
          </w:tcPr>
          <w:p w:rsidR="00BA3138" w:rsidRPr="000A3E79" w:rsidRDefault="00BA3138" w:rsidP="00025338">
            <w:pPr>
              <w:topLinePunct/>
              <w:spacing w:line="360" w:lineRule="auto"/>
              <w:jc w:val="center"/>
              <w:textAlignment w:val="center"/>
              <w:rPr>
                <w:rFonts w:ascii="仿宋_GB2312" w:eastAsia="仿宋_GB2312" w:hAnsi="仿宋_GB2312" w:cs="仿宋_GB2312"/>
                <w:szCs w:val="21"/>
              </w:rPr>
            </w:pPr>
            <w:r w:rsidRPr="000A3E79">
              <w:rPr>
                <w:rFonts w:ascii="仿宋_GB2312" w:eastAsia="仿宋_GB2312" w:hAnsi="仿宋_GB2312" w:cs="仿宋_GB2312"/>
                <w:szCs w:val="21"/>
              </w:rPr>
              <w:t>正常</w:t>
            </w:r>
          </w:p>
        </w:tc>
      </w:tr>
    </w:tbl>
    <w:p w:rsidR="00BA3138" w:rsidRPr="00864195" w:rsidRDefault="00BA3138" w:rsidP="00BA3138">
      <w:pPr>
        <w:tabs>
          <w:tab w:val="left" w:pos="0"/>
          <w:tab w:val="left" w:pos="1080"/>
        </w:tabs>
        <w:topLinePunct/>
        <w:adjustRightInd w:val="0"/>
        <w:spacing w:line="500" w:lineRule="exact"/>
        <w:ind w:firstLineChars="200" w:firstLine="600"/>
        <w:textAlignment w:val="center"/>
        <w:outlineLvl w:val="1"/>
        <w:rPr>
          <w:rFonts w:ascii="仿宋" w:eastAsia="仿宋" w:hAnsi="仿宋"/>
          <w:sz w:val="30"/>
          <w:szCs w:val="30"/>
        </w:rPr>
      </w:pPr>
      <w:r w:rsidRPr="00864195">
        <w:rPr>
          <w:rFonts w:ascii="仿宋" w:eastAsia="仿宋" w:hAnsi="仿宋" w:hint="eastAsia"/>
          <w:sz w:val="30"/>
          <w:szCs w:val="30"/>
        </w:rPr>
        <w:t>（五）</w:t>
      </w:r>
      <w:r w:rsidRPr="00864195">
        <w:rPr>
          <w:rFonts w:ascii="仿宋" w:eastAsia="仿宋" w:hAnsi="仿宋"/>
          <w:sz w:val="30"/>
          <w:szCs w:val="30"/>
        </w:rPr>
        <w:t>与最大十户集团客户的交易情况（金额单位：人民币万元）</w:t>
      </w:r>
    </w:p>
    <w:p w:rsidR="00BA3138" w:rsidRPr="00864195" w:rsidRDefault="00BA3138" w:rsidP="00BA3138">
      <w:pPr>
        <w:topLinePunct/>
        <w:spacing w:line="500" w:lineRule="exact"/>
        <w:ind w:firstLineChars="200" w:firstLine="600"/>
        <w:jc w:val="left"/>
        <w:textAlignment w:val="center"/>
        <w:rPr>
          <w:rFonts w:ascii="宋体" w:hAnsi="宋体"/>
          <w:sz w:val="30"/>
          <w:szCs w:val="30"/>
        </w:rPr>
      </w:pPr>
      <w:r w:rsidRPr="00864195">
        <w:rPr>
          <w:rFonts w:ascii="仿宋" w:eastAsia="仿宋" w:hAnsi="仿宋"/>
          <w:sz w:val="30"/>
          <w:szCs w:val="30"/>
        </w:rPr>
        <w:t>截止2023年12月31日止最大十户集团信贷客户的交易余额如下：</w:t>
      </w:r>
    </w:p>
    <w:tbl>
      <w:tblPr>
        <w:tblW w:w="5331" w:type="pct"/>
        <w:tblInd w:w="-1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tblPr>
      <w:tblGrid>
        <w:gridCol w:w="587"/>
        <w:gridCol w:w="2886"/>
        <w:gridCol w:w="1331"/>
        <w:gridCol w:w="1192"/>
        <w:gridCol w:w="1457"/>
        <w:gridCol w:w="1240"/>
        <w:gridCol w:w="1208"/>
      </w:tblGrid>
      <w:tr w:rsidR="00BA3138" w:rsidRPr="006C6E50" w:rsidTr="00025338">
        <w:trPr>
          <w:trHeight w:val="102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序号</w:t>
            </w:r>
          </w:p>
        </w:tc>
        <w:tc>
          <w:tcPr>
            <w:tcW w:w="1457"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户名</w:t>
            </w:r>
          </w:p>
        </w:tc>
        <w:tc>
          <w:tcPr>
            <w:tcW w:w="672"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贷款</w:t>
            </w:r>
          </w:p>
        </w:tc>
        <w:tc>
          <w:tcPr>
            <w:tcW w:w="602" w:type="pct"/>
            <w:tcBorders>
              <w:tl2br w:val="nil"/>
              <w:tr2bl w:val="nil"/>
            </w:tcBorders>
            <w:shd w:val="clear" w:color="auto" w:fill="auto"/>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不可撤销的承诺及或有负债</w:t>
            </w:r>
          </w:p>
        </w:tc>
        <w:tc>
          <w:tcPr>
            <w:tcW w:w="736" w:type="pct"/>
            <w:tcBorders>
              <w:tl2br w:val="nil"/>
              <w:tr2bl w:val="nil"/>
            </w:tcBorders>
            <w:shd w:val="clear" w:color="auto" w:fill="auto"/>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扣除保证金银行存单、国债后的交易余额</w:t>
            </w:r>
          </w:p>
        </w:tc>
        <w:tc>
          <w:tcPr>
            <w:tcW w:w="626"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占上季末资本净额的比例</w:t>
            </w:r>
          </w:p>
        </w:tc>
        <w:tc>
          <w:tcPr>
            <w:tcW w:w="610"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保证金、银行存单、国债</w:t>
            </w:r>
          </w:p>
        </w:tc>
      </w:tr>
      <w:tr w:rsidR="00BA3138" w:rsidRPr="006C6E50" w:rsidTr="00025338">
        <w:trPr>
          <w:trHeight w:val="48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1</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舟山市正山智能制造科技股份有限公司及其关联方</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8,650.00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2,000.00</w:t>
            </w: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9,650.00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3.77%</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1,000.00</w:t>
            </w:r>
          </w:p>
        </w:tc>
      </w:tr>
      <w:tr w:rsidR="00BA3138" w:rsidRPr="006C6E50" w:rsidTr="00025338">
        <w:trPr>
          <w:trHeight w:val="48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2</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舟山东海之滨假日酒店有限公司及其关联方</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5,020.89</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5,020.89</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1.96%</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48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3</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浙江鑫旺食品有限公司及其关联方</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4,800.00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4,800.00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1.88%</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48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4</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舟山市普陀海汇水产有限公司</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3,400.00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3,400.00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1.33%</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27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lastRenderedPageBreak/>
              <w:t>5</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舟山华泽水产食品有限公司</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1,800.00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1,800.00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0.70%</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27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6</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浙江东海酒业有限公司</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1,000.00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1,000.00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0.39%</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27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7</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林杰</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995.00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995.00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0.39%</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27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8</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翁永妙及其关联方</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915.41</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915.41</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0.36%</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270"/>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9</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张舟杰</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895.00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895.00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0.35%</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285"/>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仿宋_GB2312" w:cs="仿宋_GB2312"/>
                <w:kern w:val="0"/>
                <w:szCs w:val="21"/>
              </w:rPr>
              <w:t>10</w:t>
            </w:r>
          </w:p>
        </w:tc>
        <w:tc>
          <w:tcPr>
            <w:tcW w:w="1457" w:type="pct"/>
            <w:tcBorders>
              <w:tl2br w:val="nil"/>
              <w:tr2bl w:val="nil"/>
            </w:tcBorders>
            <w:shd w:val="clear" w:color="auto" w:fill="auto"/>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周增全</w:t>
            </w:r>
          </w:p>
        </w:tc>
        <w:tc>
          <w:tcPr>
            <w:tcW w:w="67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870.00</w:t>
            </w:r>
          </w:p>
        </w:tc>
        <w:tc>
          <w:tcPr>
            <w:tcW w:w="602" w:type="pct"/>
            <w:tcBorders>
              <w:tl2br w:val="nil"/>
              <w:tr2bl w:val="nil"/>
            </w:tcBorders>
            <w:shd w:val="clear" w:color="auto" w:fill="auto"/>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870.00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0.34%</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r w:rsidR="00BA3138" w:rsidRPr="006C6E50" w:rsidTr="00025338">
        <w:trPr>
          <w:trHeight w:val="285"/>
        </w:trPr>
        <w:tc>
          <w:tcPr>
            <w:tcW w:w="296"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c>
          <w:tcPr>
            <w:tcW w:w="1457"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r w:rsidRPr="006C6E50">
              <w:rPr>
                <w:rFonts w:ascii="仿宋_GB2312" w:eastAsia="仿宋_GB2312" w:hAnsi="等线"/>
                <w:szCs w:val="21"/>
              </w:rPr>
              <w:t>合计</w:t>
            </w:r>
          </w:p>
        </w:tc>
        <w:tc>
          <w:tcPr>
            <w:tcW w:w="672"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28,371.80</w:t>
            </w:r>
          </w:p>
        </w:tc>
        <w:tc>
          <w:tcPr>
            <w:tcW w:w="602"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1,000.00</w:t>
            </w:r>
          </w:p>
        </w:tc>
        <w:tc>
          <w:tcPr>
            <w:tcW w:w="73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29,371.80</w:t>
            </w:r>
          </w:p>
        </w:tc>
        <w:tc>
          <w:tcPr>
            <w:tcW w:w="626" w:type="pct"/>
            <w:tcBorders>
              <w:tl2br w:val="nil"/>
              <w:tr2bl w:val="nil"/>
            </w:tcBorders>
            <w:shd w:val="clear" w:color="auto" w:fill="auto"/>
            <w:noWrap/>
            <w:vAlign w:val="center"/>
          </w:tcPr>
          <w:p w:rsidR="00BA3138" w:rsidRPr="006C6E50" w:rsidRDefault="00BA3138" w:rsidP="00025338">
            <w:pPr>
              <w:widowControl/>
              <w:topLinePunct/>
              <w:jc w:val="right"/>
              <w:textAlignment w:val="center"/>
              <w:rPr>
                <w:rFonts w:ascii="仿宋_GB2312" w:eastAsia="仿宋_GB2312" w:hAnsi="仿宋_GB2312" w:cs="仿宋_GB2312"/>
                <w:kern w:val="0"/>
                <w:szCs w:val="21"/>
              </w:rPr>
            </w:pPr>
            <w:r w:rsidRPr="006C6E50">
              <w:rPr>
                <w:rFonts w:ascii="仿宋_GB2312" w:eastAsia="仿宋_GB2312" w:hAnsi="等线"/>
                <w:szCs w:val="21"/>
              </w:rPr>
              <w:t>11.48%</w:t>
            </w:r>
          </w:p>
        </w:tc>
        <w:tc>
          <w:tcPr>
            <w:tcW w:w="610" w:type="pct"/>
            <w:tcBorders>
              <w:tl2br w:val="nil"/>
              <w:tr2bl w:val="nil"/>
            </w:tcBorders>
            <w:shd w:val="clear" w:color="auto" w:fill="auto"/>
            <w:noWrap/>
            <w:vAlign w:val="center"/>
          </w:tcPr>
          <w:p w:rsidR="00BA3138" w:rsidRPr="006C6E50" w:rsidRDefault="00BA3138" w:rsidP="00025338">
            <w:pPr>
              <w:widowControl/>
              <w:topLinePunct/>
              <w:jc w:val="center"/>
              <w:textAlignment w:val="center"/>
              <w:rPr>
                <w:rFonts w:ascii="仿宋_GB2312" w:eastAsia="仿宋_GB2312" w:hAnsi="仿宋_GB2312" w:cs="仿宋_GB2312"/>
                <w:kern w:val="0"/>
                <w:szCs w:val="21"/>
              </w:rPr>
            </w:pPr>
          </w:p>
        </w:tc>
      </w:tr>
    </w:tbl>
    <w:p w:rsidR="00BA3138" w:rsidRPr="006C6E50" w:rsidRDefault="00BA3138" w:rsidP="00BA3138">
      <w:pPr>
        <w:topLinePunct/>
        <w:spacing w:line="360" w:lineRule="auto"/>
        <w:ind w:firstLineChars="200" w:firstLine="420"/>
        <w:jc w:val="left"/>
        <w:textAlignment w:val="center"/>
        <w:rPr>
          <w:rFonts w:ascii="仿宋_GB2312" w:eastAsia="仿宋_GB2312" w:hAnsi="仿宋_GB2312" w:cs="仿宋_GB2312"/>
          <w:szCs w:val="21"/>
        </w:rPr>
      </w:pPr>
      <w:bookmarkStart w:id="1" w:name="_Hlk157688231"/>
      <w:r w:rsidRPr="006C6E50">
        <w:rPr>
          <w:rFonts w:ascii="仿宋_GB2312" w:eastAsia="仿宋_GB2312" w:hAnsi="仿宋_GB2312" w:cs="仿宋_GB2312"/>
          <w:szCs w:val="21"/>
        </w:rPr>
        <w:t>注：2023年第三季度末资本净额为255,750.43万元。</w:t>
      </w:r>
    </w:p>
    <w:bookmarkEnd w:id="1"/>
    <w:p w:rsidR="00BA3138" w:rsidRPr="003421AD" w:rsidRDefault="00BA3138" w:rsidP="00BA3138">
      <w:pPr>
        <w:widowControl/>
        <w:spacing w:line="500" w:lineRule="exact"/>
        <w:jc w:val="center"/>
        <w:rPr>
          <w:rFonts w:ascii="黑体" w:eastAsia="黑体" w:hAnsi="黑体"/>
          <w:kern w:val="0"/>
          <w:sz w:val="30"/>
          <w:szCs w:val="30"/>
        </w:rPr>
      </w:pPr>
      <w:r w:rsidRPr="003421AD">
        <w:rPr>
          <w:rFonts w:ascii="黑体" w:eastAsia="黑体" w:hAnsi="黑体" w:hint="eastAsia"/>
          <w:kern w:val="0"/>
          <w:sz w:val="30"/>
          <w:szCs w:val="30"/>
        </w:rPr>
        <w:t>第八节  消费者权益保护</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一）组织体系。本行将消费者权益保护工作纳入公司治理和经营发展战略中，设立董事会消费者权益保护委员会，定期审议消费者权益保护工作报告。建立建全以消费者权益保护委员会、总行消费者权益保护部门、支行专职消保工作人员为主体的三级组织体系。本行行长担任消费者权益保护委员会主任委员，办公室牵头组织、协调、解决金融消费权益保护工作，各支行（部）主要负责人作为消保工作第一责任人，保障消费者权益保护工作战略和工作计划能得到全面、及时、有效落实与推进。</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（二）机制建设。本行不断健全消保内控制度建设，认真落实监管部门最新要求，印发《</w:t>
      </w:r>
      <w:r w:rsidRPr="003421AD">
        <w:rPr>
          <w:rFonts w:ascii="仿宋" w:eastAsia="仿宋" w:hAnsi="仿宋"/>
          <w:sz w:val="30"/>
          <w:szCs w:val="30"/>
        </w:rPr>
        <w:t>普陀农村商业银行消费者权益保护管理办法</w:t>
      </w:r>
      <w:r w:rsidRPr="003421AD">
        <w:rPr>
          <w:rFonts w:ascii="仿宋" w:eastAsia="仿宋" w:hAnsi="仿宋" w:hint="eastAsia"/>
          <w:sz w:val="30"/>
          <w:szCs w:val="30"/>
        </w:rPr>
        <w:t>》、《消费者权益保护委员会职责及议事规则》，出台《</w:t>
      </w:r>
      <w:r w:rsidRPr="003421AD">
        <w:rPr>
          <w:rFonts w:ascii="仿宋" w:eastAsia="仿宋" w:hAnsi="仿宋"/>
          <w:sz w:val="30"/>
          <w:szCs w:val="30"/>
        </w:rPr>
        <w:t>关于进一步健全消费投诉处理工作机制的通知</w:t>
      </w:r>
      <w:r w:rsidRPr="003421AD">
        <w:rPr>
          <w:rFonts w:ascii="仿宋" w:eastAsia="仿宋" w:hAnsi="仿宋" w:hint="eastAsia"/>
          <w:sz w:val="30"/>
          <w:szCs w:val="30"/>
        </w:rPr>
        <w:t>》，通过全面建设监管11项消保机制，加强售前、售中、售后全流程管理，找差距、补短板，将消费者权益要求落实到经营管理各个层面，推动本行消保工作高标准落实。</w:t>
      </w:r>
    </w:p>
    <w:p w:rsidR="00BA3138" w:rsidRPr="006C6E50" w:rsidRDefault="00BA3138" w:rsidP="00BA3138">
      <w:pPr>
        <w:spacing w:line="500" w:lineRule="exact"/>
        <w:ind w:firstLineChars="200" w:firstLine="600"/>
        <w:rPr>
          <w:rFonts w:ascii="宋体" w:hAnsi="宋体"/>
          <w:sz w:val="28"/>
          <w:szCs w:val="28"/>
        </w:rPr>
      </w:pPr>
      <w:r w:rsidRPr="003421AD">
        <w:rPr>
          <w:rFonts w:ascii="仿宋" w:eastAsia="仿宋" w:hAnsi="仿宋" w:hint="eastAsia"/>
          <w:sz w:val="30"/>
          <w:szCs w:val="30"/>
        </w:rPr>
        <w:t>（三）</w:t>
      </w:r>
      <w:r w:rsidRPr="003421AD">
        <w:rPr>
          <w:rFonts w:ascii="仿宋" w:eastAsia="仿宋" w:hAnsi="仿宋"/>
          <w:sz w:val="30"/>
          <w:szCs w:val="30"/>
        </w:rPr>
        <w:t>消保</w:t>
      </w:r>
      <w:r w:rsidRPr="003421AD">
        <w:rPr>
          <w:rFonts w:ascii="仿宋" w:eastAsia="仿宋" w:hAnsi="仿宋" w:hint="eastAsia"/>
          <w:sz w:val="30"/>
          <w:szCs w:val="30"/>
        </w:rPr>
        <w:t>管理。本行严格落实消费投诉处理主体责任，畅通投诉渠道，健全消费投诉处理工作制度，完善溯源整改机制，做到“件件有落实，事事有回应”。保持投诉管理高压态势，建立投诉数据监测、通报常态化机制，出台《普陀农村商业银行星级支行评比活动方案》，在以往年度、季度考核基础上新增了月度考核，在以往个人考核基础上新增了团队考核。2023年</w:t>
      </w:r>
      <w:r w:rsidRPr="003421AD">
        <w:rPr>
          <w:rFonts w:ascii="仿宋" w:eastAsia="仿宋" w:hAnsi="仿宋"/>
          <w:sz w:val="30"/>
          <w:szCs w:val="30"/>
        </w:rPr>
        <w:t>共受理</w:t>
      </w:r>
      <w:r w:rsidRPr="003421AD">
        <w:rPr>
          <w:rFonts w:ascii="仿宋" w:eastAsia="仿宋" w:hAnsi="仿宋" w:hint="eastAsia"/>
          <w:sz w:val="30"/>
          <w:szCs w:val="30"/>
        </w:rPr>
        <w:t>客户</w:t>
      </w:r>
      <w:r w:rsidRPr="003421AD">
        <w:rPr>
          <w:rFonts w:ascii="仿宋" w:eastAsia="仿宋" w:hAnsi="仿宋"/>
          <w:sz w:val="30"/>
          <w:szCs w:val="30"/>
        </w:rPr>
        <w:t>来电、来访</w:t>
      </w:r>
      <w:r w:rsidRPr="003421AD">
        <w:rPr>
          <w:rFonts w:ascii="仿宋" w:eastAsia="仿宋" w:hAnsi="仿宋" w:hint="eastAsia"/>
          <w:sz w:val="30"/>
          <w:szCs w:val="30"/>
        </w:rPr>
        <w:t>、转办工单800余</w:t>
      </w:r>
      <w:r w:rsidRPr="003421AD">
        <w:rPr>
          <w:rFonts w:ascii="仿宋" w:eastAsia="仿宋" w:hAnsi="仿宋"/>
          <w:sz w:val="30"/>
          <w:szCs w:val="30"/>
        </w:rPr>
        <w:t>件，</w:t>
      </w:r>
      <w:r w:rsidRPr="003421AD">
        <w:rPr>
          <w:rFonts w:ascii="仿宋" w:eastAsia="仿宋" w:hAnsi="仿宋" w:hint="eastAsia"/>
          <w:sz w:val="30"/>
          <w:szCs w:val="30"/>
        </w:rPr>
        <w:t>其中投诉91件，投诉办结率</w:t>
      </w:r>
      <w:r w:rsidRPr="003421AD">
        <w:rPr>
          <w:rFonts w:ascii="仿宋" w:eastAsia="仿宋" w:hAnsi="仿宋"/>
          <w:sz w:val="30"/>
          <w:szCs w:val="30"/>
        </w:rPr>
        <w:t>100%</w:t>
      </w:r>
      <w:r w:rsidRPr="003421AD">
        <w:rPr>
          <w:rFonts w:ascii="仿宋" w:eastAsia="仿宋" w:hAnsi="仿宋" w:hint="eastAsia"/>
          <w:sz w:val="30"/>
          <w:szCs w:val="30"/>
        </w:rPr>
        <w:t>，回访满意率</w:t>
      </w:r>
      <w:r w:rsidRPr="003421AD">
        <w:rPr>
          <w:rFonts w:ascii="仿宋" w:eastAsia="仿宋" w:hAnsi="仿宋"/>
          <w:sz w:val="30"/>
          <w:szCs w:val="30"/>
        </w:rPr>
        <w:t>99%</w:t>
      </w:r>
      <w:r w:rsidRPr="003421AD">
        <w:rPr>
          <w:rFonts w:ascii="仿宋" w:eastAsia="仿宋" w:hAnsi="仿宋" w:hint="eastAsia"/>
          <w:sz w:val="30"/>
          <w:szCs w:val="30"/>
        </w:rPr>
        <w:t>以上。深化金</w:t>
      </w:r>
      <w:r w:rsidRPr="003421AD">
        <w:rPr>
          <w:rFonts w:ascii="仿宋" w:eastAsia="仿宋" w:hAnsi="仿宋" w:hint="eastAsia"/>
          <w:sz w:val="30"/>
          <w:szCs w:val="30"/>
        </w:rPr>
        <w:lastRenderedPageBreak/>
        <w:t>融宣教，创新“金融宣传+金融服务”双模式，通过</w:t>
      </w:r>
      <w:r w:rsidRPr="003421AD">
        <w:rPr>
          <w:rFonts w:ascii="仿宋" w:eastAsia="仿宋" w:hAnsi="仿宋"/>
          <w:sz w:val="30"/>
          <w:szCs w:val="30"/>
        </w:rPr>
        <w:t>进农村入农户、</w:t>
      </w:r>
      <w:r w:rsidRPr="003421AD">
        <w:rPr>
          <w:rFonts w:ascii="仿宋" w:eastAsia="仿宋" w:hAnsi="仿宋" w:hint="eastAsia"/>
          <w:sz w:val="30"/>
          <w:szCs w:val="30"/>
        </w:rPr>
        <w:t>进海岛入渔户、</w:t>
      </w:r>
      <w:r w:rsidRPr="003421AD">
        <w:rPr>
          <w:rFonts w:ascii="仿宋" w:eastAsia="仿宋" w:hAnsi="仿宋"/>
          <w:sz w:val="30"/>
          <w:szCs w:val="30"/>
        </w:rPr>
        <w:t>进社区入住户、进商圈入商户、进学校入课堂、进园区入企业等</w:t>
      </w:r>
      <w:r w:rsidRPr="003421AD">
        <w:rPr>
          <w:rFonts w:ascii="仿宋" w:eastAsia="仿宋" w:hAnsi="仿宋" w:hint="eastAsia"/>
          <w:sz w:val="30"/>
          <w:szCs w:val="30"/>
        </w:rPr>
        <w:t>“六入”活动让金融宣传“走出去”，让金融知识“送入门”,并</w:t>
      </w:r>
      <w:r w:rsidRPr="003421AD">
        <w:rPr>
          <w:rFonts w:ascii="仿宋" w:eastAsia="仿宋" w:hAnsi="仿宋"/>
          <w:sz w:val="30"/>
          <w:szCs w:val="30"/>
        </w:rPr>
        <w:t>广泛运用营业网点、</w:t>
      </w:r>
      <w:r w:rsidRPr="003421AD">
        <w:rPr>
          <w:rFonts w:ascii="仿宋" w:eastAsia="仿宋" w:hAnsi="仿宋" w:hint="eastAsia"/>
          <w:sz w:val="30"/>
          <w:szCs w:val="30"/>
        </w:rPr>
        <w:t>互联网、新媒体</w:t>
      </w:r>
      <w:r w:rsidRPr="003421AD">
        <w:rPr>
          <w:rFonts w:ascii="仿宋" w:eastAsia="仿宋" w:hAnsi="仿宋"/>
          <w:sz w:val="30"/>
          <w:szCs w:val="30"/>
        </w:rPr>
        <w:t>等各类渠道，</w:t>
      </w:r>
      <w:r w:rsidRPr="003421AD">
        <w:rPr>
          <w:rFonts w:ascii="仿宋" w:eastAsia="仿宋" w:hAnsi="仿宋" w:hint="eastAsia"/>
          <w:sz w:val="30"/>
          <w:szCs w:val="30"/>
        </w:rPr>
        <w:t>全面</w:t>
      </w:r>
      <w:r w:rsidRPr="003421AD">
        <w:rPr>
          <w:rFonts w:ascii="仿宋" w:eastAsia="仿宋" w:hAnsi="仿宋"/>
          <w:sz w:val="30"/>
          <w:szCs w:val="30"/>
        </w:rPr>
        <w:t>营造“处处都是宣传点、人人都是宣传员”的良好氛围。</w:t>
      </w:r>
    </w:p>
    <w:p w:rsidR="00BA3138" w:rsidRPr="003421AD" w:rsidRDefault="00BA3138" w:rsidP="00BA3138">
      <w:pPr>
        <w:widowControl/>
        <w:spacing w:line="500" w:lineRule="exact"/>
        <w:jc w:val="center"/>
        <w:rPr>
          <w:rFonts w:ascii="黑体" w:eastAsia="黑体" w:hAnsi="黑体"/>
          <w:kern w:val="0"/>
          <w:sz w:val="30"/>
          <w:szCs w:val="30"/>
        </w:rPr>
      </w:pPr>
      <w:r w:rsidRPr="003421AD">
        <w:rPr>
          <w:rFonts w:ascii="黑体" w:eastAsia="黑体" w:hAnsi="黑体" w:hint="eastAsia"/>
          <w:kern w:val="0"/>
          <w:sz w:val="30"/>
          <w:szCs w:val="30"/>
        </w:rPr>
        <w:t>第九节  社会责任报告</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2023年，本行认真贯彻落实上级战略部署，坚持稳中求进的总基调，围绕“稳进提质，强基增效”的工作主线，聚焦服务共同富裕和乡村振兴、服务实体经济等大事要事，深入开展“助力共富年”活动和“155”行动，为我区经济社会发展作出积极贡献。</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一）坚持服务大局，以实干争先之“姿”全面支持实体经济发展。打好促进实体发展“组合拳”。紧紧围绕“现代化海洋产业新高地”战略部署，不断优化“一条鱼”产业链金融服务，加大“一艘船”金融支持力度。到年末，全行“一条鱼”贷款余额49.54亿元，比年初增加7.47亿元；“一艘船”贷款余额30.45亿元，比年初增加11.12亿元。不断扩大银企合作“朋友圈”。先后参加普陀上海商会和普陀北京商会会员大会，发布乡贤卡，积极打造“在外普商”服务体系。与区工商联、区新生代企业家联谊会联合举办新生代企业家走进农商行沙龙活动，挂牌设立“普商之家”“青蓝之家”及“青年企业家俱乐部”，并向新企联整体授信5亿元。举办金融赋能航运高质量发展企业家沙龙活动，探索银企合作新模式。积极助力区域经济“再复苏”。以“大走访大调研大服务大解题”为载体,开展“助共富 惠万企”专项金融服务活动,全年累计走访1.69万户，新增授信3.09亿元。持续落实“连续贷+灵活贷”机制，全面推广“无还本续贷”，到12月末，无还本续贷相关产品达712户余额36.61亿元，获评2023年度应急转贷资金特别贡献奖和浙江省“民营企业最满意银行”。</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（二）坚持守正创新，以先破后立之“势”全面推进数智转型赋能。加快数字场景建设。与区旧改办合作上线房票业务系统，并签发</w:t>
      </w:r>
      <w:r w:rsidRPr="003421AD">
        <w:rPr>
          <w:rFonts w:ascii="仿宋" w:eastAsia="仿宋" w:hAnsi="仿宋" w:hint="eastAsia"/>
          <w:sz w:val="30"/>
          <w:szCs w:val="30"/>
        </w:rPr>
        <w:lastRenderedPageBreak/>
        <w:t>全市首张房票，全程跟进沈家门蒲湾一区、二区征迁项目，累计签发房票419张2.57亿元。不断提升“普渔乐”项目推广与延伸，累计完成收单业务4.61万笔2498万元。加快推进“安心食堂”项目建设，实现全区35所学校食堂全部接入校园云方案。围绕“吃、穿、住、行、娱”五大重点方向，累计建设各类数字化场景合计64个，比年初增加20个。加快数字平台应用。持续做好“浙里基财”“浙农经管”平台运维推广，围绕资金、资产、资源安全风险管控等重点，打造基层财政管理安全风险智控应用场景。积极构建新一代对公金融综合服务平台，企业互联新开户客户数1159户，实现浙企智管主要产品签约突破，开通财资宝149户。加快数字体系搭建。不断完善“就近办、自助办、掌上办、上门办”的“四办”服务模式，持续推动“一网通办”向基础渔农村延伸，实现520项民生服务全渠道办理，累计办件超10万件，发放三代社保卡18.56万张。</w:t>
      </w:r>
    </w:p>
    <w:p w:rsidR="00BA3138" w:rsidRPr="006C6E50" w:rsidRDefault="00BA3138" w:rsidP="00BA3138">
      <w:pPr>
        <w:spacing w:line="500" w:lineRule="exact"/>
        <w:ind w:firstLineChars="200" w:firstLine="600"/>
        <w:rPr>
          <w:rFonts w:ascii="宋体" w:hAnsi="宋体"/>
          <w:sz w:val="28"/>
          <w:szCs w:val="28"/>
        </w:rPr>
      </w:pPr>
      <w:r w:rsidRPr="003421AD">
        <w:rPr>
          <w:rFonts w:ascii="仿宋" w:eastAsia="仿宋" w:hAnsi="仿宋" w:hint="eastAsia"/>
          <w:sz w:val="30"/>
          <w:szCs w:val="30"/>
        </w:rPr>
        <w:t>（三）坚持党建引领，以金融为民之“志”全面助力海岛共富富裕。多举措深化“党建+金融”。以党建联建为抓手，先后与市吉林商会、市湖州商会、市江西商会、沈家门街道等签订战略合作协议，与区退役军人事务局、区公安局、杉杉生活广场联合召开“军警银企共建共富”党建联建工作推进会，共同推行崇军（警）金融优享项目。全方位助力海岛共富。制定金融支持海岛乡村振兴工作推进方案，以“小岛你好”为载体，有序推进“海岛产业振兴”和“海岛扩中提低”两篇文章。全面参与未来乡村建设，先后与20个乡村建设主体签订战略合作协议并开展相关金融服务与场景建设合作。向16家共富工坊整体授信2.5亿元，为工坊“供氧输血”。以“登步黄金瓜”地理标志证明商标办理质押，实现全市首笔地理标志品牌融资。大力支持“没有围墙的海岛创业园”建设，先后向东极、白沙、六横海岛创业园授信4亿元。高站位践行金融为民。坚持金融向善理念，传播公益“善心”，倡导员工“善行”，带动社会“善为”，先后主导或配合政府设立“慈善救助基金”“未来海岛·共同富裕”等近10个公益项目，冠名基金</w:t>
      </w:r>
      <w:r w:rsidRPr="003421AD">
        <w:rPr>
          <w:rFonts w:ascii="仿宋" w:eastAsia="仿宋" w:hAnsi="仿宋" w:hint="eastAsia"/>
          <w:sz w:val="30"/>
          <w:szCs w:val="30"/>
        </w:rPr>
        <w:lastRenderedPageBreak/>
        <w:t>超1500万元。赞助沈家门第八届国际民间民俗大会，冠名支持桃花全国女子沙滩足球锦标赛，获评舟山市首批十佳“爱心企业”和舟山市高水平推进现代海洋城市建设慈善工作“机构捐赠奖”。</w:t>
      </w:r>
    </w:p>
    <w:p w:rsidR="00BA3138" w:rsidRPr="003421AD" w:rsidRDefault="00BA3138" w:rsidP="00BA3138">
      <w:pPr>
        <w:widowControl/>
        <w:spacing w:line="500" w:lineRule="exact"/>
        <w:jc w:val="center"/>
        <w:rPr>
          <w:rFonts w:ascii="黑体" w:eastAsia="黑体" w:hAnsi="黑体"/>
          <w:kern w:val="0"/>
          <w:sz w:val="30"/>
          <w:szCs w:val="30"/>
        </w:rPr>
      </w:pPr>
      <w:r w:rsidRPr="003421AD">
        <w:rPr>
          <w:rFonts w:ascii="黑体" w:eastAsia="黑体" w:hAnsi="黑体" w:hint="eastAsia"/>
          <w:kern w:val="0"/>
          <w:sz w:val="30"/>
          <w:szCs w:val="30"/>
        </w:rPr>
        <w:t>第十节  其他重大事项信息</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（一）重要诉讼、仲裁事项和重大案件情况。</w:t>
      </w:r>
      <w:r w:rsidRPr="003421AD">
        <w:rPr>
          <w:rFonts w:ascii="仿宋" w:eastAsia="仿宋" w:hAnsi="仿宋" w:cs="仿宋_GB2312" w:hint="eastAsia"/>
          <w:kern w:val="0"/>
          <w:sz w:val="30"/>
          <w:szCs w:val="30"/>
        </w:rPr>
        <w:t>报告期内</w:t>
      </w:r>
      <w:r w:rsidRPr="003421AD">
        <w:rPr>
          <w:rFonts w:ascii="仿宋" w:eastAsia="仿宋" w:hAnsi="仿宋" w:cs="仿宋_GB2312"/>
          <w:kern w:val="0"/>
          <w:sz w:val="30"/>
          <w:szCs w:val="30"/>
        </w:rPr>
        <w:t>，本行存在作为原告在正常业务中发生的若干法律诉讼事项。本行管理层认为该等事项的最终裁决与执行结果不会对本行的财务状况或经营成果产生重大影响。</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（二）出售及收购资产等重大事项。报告期内，本行无重大资产收购、出售或处置以及企业兼并事项。</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（三）重大合同及履行情况。报告期内，本行无重大合同事项。</w:t>
      </w:r>
    </w:p>
    <w:p w:rsidR="00BA3138" w:rsidRPr="003421AD"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（四）受监管部门和司法部门处罚情况。报告期内，本行收到中国银保监会舟山银保监分局行政处罚决定书</w:t>
      </w:r>
      <w:r>
        <w:rPr>
          <w:rFonts w:ascii="仿宋" w:eastAsia="仿宋" w:hAnsi="仿宋" w:hint="eastAsia"/>
          <w:sz w:val="30"/>
          <w:szCs w:val="30"/>
        </w:rPr>
        <w:t>1</w:t>
      </w:r>
      <w:r w:rsidRPr="003421AD">
        <w:rPr>
          <w:rFonts w:ascii="仿宋" w:eastAsia="仿宋" w:hAnsi="仿宋" w:hint="eastAsia"/>
          <w:sz w:val="30"/>
          <w:szCs w:val="30"/>
        </w:rPr>
        <w:t>份，为（</w:t>
      </w:r>
      <w:r w:rsidRPr="00274336">
        <w:rPr>
          <w:rFonts w:ascii="仿宋" w:eastAsia="仿宋" w:hAnsi="仿宋"/>
          <w:sz w:val="30"/>
          <w:szCs w:val="30"/>
        </w:rPr>
        <w:t>舟银保监罚决字</w:t>
      </w:r>
      <w:r w:rsidRPr="00274336">
        <w:rPr>
          <w:rFonts w:ascii="仿宋" w:eastAsia="仿宋" w:hAnsi="仿宋" w:hint="eastAsia"/>
          <w:sz w:val="30"/>
          <w:szCs w:val="30"/>
        </w:rPr>
        <w:t>〔2023〕</w:t>
      </w:r>
      <w:r w:rsidRPr="00274336">
        <w:rPr>
          <w:rFonts w:ascii="仿宋" w:eastAsia="仿宋" w:hAnsi="仿宋"/>
          <w:sz w:val="30"/>
          <w:szCs w:val="30"/>
        </w:rPr>
        <w:t>5号</w:t>
      </w:r>
      <w:r w:rsidRPr="003421AD">
        <w:rPr>
          <w:rFonts w:ascii="仿宋" w:eastAsia="仿宋" w:hAnsi="仿宋" w:hint="eastAsia"/>
          <w:sz w:val="30"/>
          <w:szCs w:val="30"/>
        </w:rPr>
        <w:t>），罚款金额为人民币</w:t>
      </w:r>
      <w:r>
        <w:rPr>
          <w:rFonts w:ascii="仿宋" w:eastAsia="仿宋" w:hAnsi="仿宋" w:hint="eastAsia"/>
          <w:sz w:val="30"/>
          <w:szCs w:val="30"/>
        </w:rPr>
        <w:t>6000</w:t>
      </w:r>
      <w:r w:rsidRPr="003421AD">
        <w:rPr>
          <w:rFonts w:ascii="仿宋" w:eastAsia="仿宋" w:hAnsi="仿宋" w:hint="eastAsia"/>
          <w:sz w:val="30"/>
          <w:szCs w:val="30"/>
        </w:rPr>
        <w:t>元</w:t>
      </w:r>
      <w:r>
        <w:rPr>
          <w:rFonts w:ascii="仿宋" w:eastAsia="仿宋" w:hAnsi="仿宋" w:hint="eastAsia"/>
          <w:sz w:val="30"/>
          <w:szCs w:val="30"/>
        </w:rPr>
        <w:t>，收到</w:t>
      </w:r>
      <w:r w:rsidRPr="00274336">
        <w:rPr>
          <w:rFonts w:ascii="仿宋" w:eastAsia="仿宋" w:hAnsi="仿宋"/>
          <w:sz w:val="30"/>
          <w:szCs w:val="30"/>
        </w:rPr>
        <w:t>国家金融监督管理总局舟山监管分局行政处罚决定书</w:t>
      </w:r>
      <w:r>
        <w:rPr>
          <w:rFonts w:ascii="仿宋" w:eastAsia="仿宋" w:hAnsi="仿宋" w:hint="eastAsia"/>
          <w:sz w:val="30"/>
          <w:szCs w:val="30"/>
        </w:rPr>
        <w:t>1</w:t>
      </w:r>
      <w:r w:rsidRPr="003421AD">
        <w:rPr>
          <w:rFonts w:ascii="仿宋" w:eastAsia="仿宋" w:hAnsi="仿宋" w:hint="eastAsia"/>
          <w:sz w:val="30"/>
          <w:szCs w:val="30"/>
        </w:rPr>
        <w:t>份</w:t>
      </w:r>
      <w:r>
        <w:rPr>
          <w:rFonts w:ascii="仿宋" w:eastAsia="仿宋" w:hAnsi="仿宋" w:hint="eastAsia"/>
          <w:sz w:val="30"/>
          <w:szCs w:val="30"/>
        </w:rPr>
        <w:t>，为（</w:t>
      </w:r>
      <w:r w:rsidRPr="00274336">
        <w:rPr>
          <w:rFonts w:ascii="仿宋" w:eastAsia="仿宋" w:hAnsi="仿宋"/>
          <w:sz w:val="30"/>
          <w:szCs w:val="30"/>
        </w:rPr>
        <w:t>舟金罚决字</w:t>
      </w:r>
      <w:r w:rsidRPr="00274336">
        <w:rPr>
          <w:rFonts w:ascii="仿宋" w:eastAsia="仿宋" w:hAnsi="仿宋" w:hint="eastAsia"/>
          <w:sz w:val="30"/>
          <w:szCs w:val="30"/>
        </w:rPr>
        <w:t>〔2023〕</w:t>
      </w:r>
      <w:r w:rsidRPr="00274336">
        <w:rPr>
          <w:rFonts w:ascii="仿宋" w:eastAsia="仿宋" w:hAnsi="仿宋"/>
          <w:sz w:val="30"/>
          <w:szCs w:val="30"/>
        </w:rPr>
        <w:t>1号</w:t>
      </w:r>
      <w:r w:rsidRPr="00274336">
        <w:rPr>
          <w:rFonts w:ascii="仿宋" w:eastAsia="仿宋" w:hAnsi="仿宋" w:hint="eastAsia"/>
          <w:sz w:val="30"/>
          <w:szCs w:val="30"/>
        </w:rPr>
        <w:t>）</w:t>
      </w:r>
      <w:r>
        <w:rPr>
          <w:rFonts w:ascii="仿宋" w:eastAsia="仿宋" w:hAnsi="仿宋" w:hint="eastAsia"/>
          <w:sz w:val="30"/>
          <w:szCs w:val="30"/>
        </w:rPr>
        <w:t>，</w:t>
      </w:r>
      <w:r w:rsidRPr="003421AD">
        <w:rPr>
          <w:rFonts w:ascii="仿宋" w:eastAsia="仿宋" w:hAnsi="仿宋" w:hint="eastAsia"/>
          <w:sz w:val="30"/>
          <w:szCs w:val="30"/>
        </w:rPr>
        <w:t>罚款金额为人民币</w:t>
      </w:r>
      <w:r>
        <w:rPr>
          <w:rFonts w:ascii="仿宋" w:eastAsia="仿宋" w:hAnsi="仿宋" w:hint="eastAsia"/>
          <w:sz w:val="30"/>
          <w:szCs w:val="30"/>
        </w:rPr>
        <w:t>7</w:t>
      </w:r>
      <w:r w:rsidRPr="003421AD">
        <w:rPr>
          <w:rFonts w:ascii="仿宋" w:eastAsia="仿宋" w:hAnsi="仿宋" w:hint="eastAsia"/>
          <w:sz w:val="30"/>
          <w:szCs w:val="30"/>
        </w:rPr>
        <w:t>5万元。</w:t>
      </w:r>
    </w:p>
    <w:p w:rsidR="00BA3138" w:rsidRPr="00274336" w:rsidRDefault="00BA3138" w:rsidP="00BA3138">
      <w:pPr>
        <w:spacing w:line="500" w:lineRule="exact"/>
        <w:ind w:firstLineChars="200" w:firstLine="600"/>
        <w:rPr>
          <w:rFonts w:ascii="仿宋" w:eastAsia="仿宋" w:hAnsi="仿宋"/>
          <w:sz w:val="30"/>
          <w:szCs w:val="30"/>
        </w:rPr>
      </w:pPr>
      <w:r w:rsidRPr="003421AD">
        <w:rPr>
          <w:rFonts w:ascii="仿宋" w:eastAsia="仿宋" w:hAnsi="仿宋" w:hint="eastAsia"/>
          <w:sz w:val="30"/>
          <w:szCs w:val="30"/>
        </w:rPr>
        <w:t>（五）聘请会计师事务所情况。经本行2022年度股东大会审议通过，本行聘请浙江浙经天策会计事务所有限公司为2023年度会计年报审计机构。</w:t>
      </w:r>
    </w:p>
    <w:p w:rsidR="00BA3138" w:rsidRDefault="00BA3138" w:rsidP="000C762A">
      <w:pPr>
        <w:widowControl/>
        <w:spacing w:line="500" w:lineRule="exact"/>
        <w:jc w:val="center"/>
        <w:rPr>
          <w:rFonts w:ascii="黑体" w:eastAsia="黑体" w:hAnsi="黑体"/>
          <w:kern w:val="0"/>
          <w:sz w:val="30"/>
          <w:szCs w:val="30"/>
        </w:rPr>
      </w:pPr>
      <w:r w:rsidRPr="003421AD">
        <w:rPr>
          <w:rFonts w:ascii="黑体" w:eastAsia="黑体" w:hAnsi="黑体" w:hint="eastAsia"/>
          <w:kern w:val="0"/>
          <w:sz w:val="30"/>
          <w:szCs w:val="30"/>
        </w:rPr>
        <w:t>第十一节  外部审计机构出具的审计报告</w:t>
      </w:r>
    </w:p>
    <w:p w:rsidR="000C762A" w:rsidRPr="000C762A" w:rsidRDefault="000C762A" w:rsidP="000C762A">
      <w:pPr>
        <w:widowControl/>
        <w:spacing w:line="500" w:lineRule="exact"/>
        <w:jc w:val="center"/>
        <w:rPr>
          <w:rFonts w:ascii="黑体" w:eastAsia="黑体" w:hAnsi="黑体"/>
          <w:kern w:val="0"/>
          <w:sz w:val="30"/>
          <w:szCs w:val="30"/>
        </w:rPr>
      </w:pPr>
    </w:p>
    <w:p w:rsidR="00BA3138" w:rsidRPr="003421AD" w:rsidRDefault="00BA3138" w:rsidP="0004766E">
      <w:pPr>
        <w:spacing w:beforeLines="20" w:afterLines="20" w:line="480" w:lineRule="exact"/>
        <w:rPr>
          <w:rFonts w:ascii="仿宋" w:eastAsia="仿宋" w:hAnsi="仿宋"/>
          <w:sz w:val="30"/>
          <w:szCs w:val="30"/>
        </w:rPr>
      </w:pPr>
      <w:r w:rsidRPr="003421AD">
        <w:rPr>
          <w:rFonts w:ascii="仿宋" w:eastAsia="仿宋" w:hAnsi="仿宋" w:hint="eastAsia"/>
          <w:sz w:val="30"/>
          <w:szCs w:val="30"/>
        </w:rPr>
        <w:t>浙江舟山普陀农村商业银行股份有限公司全体股东：</w:t>
      </w:r>
    </w:p>
    <w:p w:rsidR="00BA3138" w:rsidRPr="003421AD" w:rsidRDefault="00BA3138" w:rsidP="0004766E">
      <w:pPr>
        <w:spacing w:beforeLines="20" w:afterLines="20" w:line="480" w:lineRule="exact"/>
        <w:ind w:firstLineChars="200" w:firstLine="602"/>
        <w:rPr>
          <w:rFonts w:ascii="仿宋" w:eastAsia="仿宋" w:hAnsi="仿宋"/>
          <w:b/>
          <w:sz w:val="30"/>
          <w:szCs w:val="30"/>
        </w:rPr>
      </w:pPr>
      <w:r w:rsidRPr="003421AD">
        <w:rPr>
          <w:rFonts w:ascii="仿宋" w:eastAsia="仿宋" w:hAnsi="仿宋" w:hint="eastAsia"/>
          <w:b/>
          <w:sz w:val="30"/>
          <w:szCs w:val="30"/>
        </w:rPr>
        <w:t>一、审计意见</w:t>
      </w:r>
    </w:p>
    <w:p w:rsidR="00BA3138" w:rsidRPr="003421AD" w:rsidRDefault="00BA3138" w:rsidP="0004766E">
      <w:pPr>
        <w:spacing w:beforeLines="20" w:afterLines="20" w:line="480" w:lineRule="exact"/>
        <w:rPr>
          <w:rFonts w:ascii="仿宋" w:eastAsia="仿宋" w:hAnsi="仿宋"/>
          <w:sz w:val="30"/>
          <w:szCs w:val="30"/>
        </w:rPr>
      </w:pPr>
      <w:r w:rsidRPr="003421AD">
        <w:rPr>
          <w:rFonts w:ascii="仿宋" w:eastAsia="仿宋" w:hAnsi="仿宋" w:hint="eastAsia"/>
          <w:sz w:val="30"/>
          <w:szCs w:val="30"/>
        </w:rPr>
        <w:t xml:space="preserve">    我们审计了浙江舟山普陀农村商业银行股份有限公司（以下简称普陀农村商业银行）财务报表，包括202</w:t>
      </w:r>
      <w:r w:rsidRPr="003421AD">
        <w:rPr>
          <w:rFonts w:ascii="仿宋" w:eastAsia="仿宋" w:hAnsi="仿宋"/>
          <w:sz w:val="30"/>
          <w:szCs w:val="30"/>
        </w:rPr>
        <w:t>3</w:t>
      </w:r>
      <w:r w:rsidRPr="003421AD">
        <w:rPr>
          <w:rFonts w:ascii="仿宋" w:eastAsia="仿宋" w:hAnsi="仿宋" w:hint="eastAsia"/>
          <w:sz w:val="30"/>
          <w:szCs w:val="30"/>
        </w:rPr>
        <w:t>年12月31日的资产负债表，202</w:t>
      </w:r>
      <w:r w:rsidRPr="003421AD">
        <w:rPr>
          <w:rFonts w:ascii="仿宋" w:eastAsia="仿宋" w:hAnsi="仿宋"/>
          <w:sz w:val="30"/>
          <w:szCs w:val="30"/>
        </w:rPr>
        <w:t>3</w:t>
      </w:r>
      <w:r w:rsidRPr="003421AD">
        <w:rPr>
          <w:rFonts w:ascii="仿宋" w:eastAsia="仿宋" w:hAnsi="仿宋" w:hint="eastAsia"/>
          <w:sz w:val="30"/>
          <w:szCs w:val="30"/>
        </w:rPr>
        <w:t>年度的利润表、现金流量表、所有者权益变动表以及相关财务报表附注。</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lastRenderedPageBreak/>
        <w:t>我们认为，后附的财务报表在所有重大方面按照企业会计准则的规定编制，公允反映了普陀农村商业银行202</w:t>
      </w:r>
      <w:r w:rsidRPr="003421AD">
        <w:rPr>
          <w:rFonts w:ascii="仿宋" w:eastAsia="仿宋" w:hAnsi="仿宋"/>
          <w:sz w:val="30"/>
          <w:szCs w:val="30"/>
        </w:rPr>
        <w:t>3</w:t>
      </w:r>
      <w:r w:rsidRPr="003421AD">
        <w:rPr>
          <w:rFonts w:ascii="仿宋" w:eastAsia="仿宋" w:hAnsi="仿宋" w:hint="eastAsia"/>
          <w:sz w:val="30"/>
          <w:szCs w:val="30"/>
        </w:rPr>
        <w:t>年12月31日的财务状况以及202</w:t>
      </w:r>
      <w:r w:rsidRPr="003421AD">
        <w:rPr>
          <w:rFonts w:ascii="仿宋" w:eastAsia="仿宋" w:hAnsi="仿宋"/>
          <w:sz w:val="30"/>
          <w:szCs w:val="30"/>
        </w:rPr>
        <w:t>3</w:t>
      </w:r>
      <w:r w:rsidRPr="003421AD">
        <w:rPr>
          <w:rFonts w:ascii="仿宋" w:eastAsia="仿宋" w:hAnsi="仿宋" w:hint="eastAsia"/>
          <w:sz w:val="30"/>
          <w:szCs w:val="30"/>
        </w:rPr>
        <w:t>年度的经营成果和现金流量。</w:t>
      </w:r>
    </w:p>
    <w:p w:rsidR="00BA3138" w:rsidRPr="003421AD" w:rsidRDefault="00BA3138" w:rsidP="0004766E">
      <w:pPr>
        <w:spacing w:beforeLines="20" w:afterLines="20" w:line="480" w:lineRule="exact"/>
        <w:ind w:firstLineChars="200" w:firstLine="602"/>
        <w:rPr>
          <w:rFonts w:ascii="仿宋" w:eastAsia="仿宋" w:hAnsi="仿宋"/>
          <w:b/>
          <w:sz w:val="30"/>
          <w:szCs w:val="30"/>
        </w:rPr>
      </w:pPr>
      <w:r w:rsidRPr="003421AD">
        <w:rPr>
          <w:rFonts w:ascii="仿宋" w:eastAsia="仿宋" w:hAnsi="仿宋" w:hint="eastAsia"/>
          <w:b/>
          <w:sz w:val="30"/>
          <w:szCs w:val="30"/>
        </w:rPr>
        <w:t>二、形成审计意见的基础</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 xml:space="preserve">我们按照中国注册会计师审计准则的规定执行了审计工作。审计报告的“注册会计师对财务报表审计的责任”部分进一步阐述了我们在这些准则下的责任。按照中国注册会计师职业道德守则，我们独立于普陀农村商业银行，并履行了职业道德方面的其他责任。我们相信，我们获取的审计证据是充分、适当的，为发表审计意见提供了基础。 </w:t>
      </w:r>
    </w:p>
    <w:p w:rsidR="00BA3138" w:rsidRPr="003421AD" w:rsidRDefault="00BA3138" w:rsidP="0004766E">
      <w:pPr>
        <w:spacing w:beforeLines="20" w:afterLines="20" w:line="480" w:lineRule="exact"/>
        <w:ind w:firstLineChars="200" w:firstLine="602"/>
        <w:rPr>
          <w:rFonts w:ascii="仿宋" w:eastAsia="仿宋" w:hAnsi="仿宋"/>
          <w:b/>
          <w:sz w:val="30"/>
          <w:szCs w:val="30"/>
        </w:rPr>
      </w:pPr>
      <w:r w:rsidRPr="003421AD">
        <w:rPr>
          <w:rFonts w:ascii="仿宋" w:eastAsia="仿宋" w:hAnsi="仿宋" w:hint="eastAsia"/>
          <w:b/>
          <w:sz w:val="30"/>
          <w:szCs w:val="30"/>
        </w:rPr>
        <w:t>三、其他信息</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无《中国注册会计师审计准则第</w:t>
      </w:r>
      <w:r>
        <w:rPr>
          <w:rFonts w:ascii="仿宋" w:eastAsia="仿宋" w:hAnsi="仿宋" w:hint="eastAsia"/>
          <w:sz w:val="30"/>
          <w:szCs w:val="30"/>
        </w:rPr>
        <w:t>1521</w:t>
      </w:r>
      <w:r w:rsidRPr="003421AD">
        <w:rPr>
          <w:rFonts w:ascii="仿宋" w:eastAsia="仿宋" w:hAnsi="仿宋" w:hint="eastAsia"/>
          <w:sz w:val="30"/>
          <w:szCs w:val="30"/>
        </w:rPr>
        <w:t>号——注册会计师对其他信息的责任》规定的所需披露的其他信息。</w:t>
      </w:r>
    </w:p>
    <w:p w:rsidR="00BA3138" w:rsidRPr="003421AD" w:rsidRDefault="00BA3138" w:rsidP="0004766E">
      <w:pPr>
        <w:spacing w:beforeLines="20" w:afterLines="20" w:line="480" w:lineRule="exact"/>
        <w:ind w:firstLineChars="200" w:firstLine="602"/>
        <w:rPr>
          <w:rFonts w:ascii="仿宋" w:eastAsia="仿宋" w:hAnsi="仿宋"/>
          <w:b/>
          <w:sz w:val="30"/>
          <w:szCs w:val="30"/>
        </w:rPr>
      </w:pPr>
      <w:r w:rsidRPr="003421AD">
        <w:rPr>
          <w:rFonts w:ascii="仿宋" w:eastAsia="仿宋" w:hAnsi="仿宋" w:hint="eastAsia"/>
          <w:b/>
          <w:sz w:val="30"/>
          <w:szCs w:val="30"/>
        </w:rPr>
        <w:t>四、管理层和治理层对财务报表的责任</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普陀农村商业银行管理层（以下简称管理层）负责按照企业会计准则的规定编制财务报表，使其实现公允反映，并设计、执行和维护必要的内部控制，以使财务报表不存在由于舞弊或错误导致的重大错报。</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在编制财务报表时，管理层负责评估普陀农村商业银行的持续经营能力，披露与持续经营相关的事项，并运用持续经营假设，除非管理层计划清算普陀农村商业银行、终止运营或别无其他现实的选择。</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治理层负责监督普陀农村商业银行的财务报告过程。</w:t>
      </w:r>
    </w:p>
    <w:p w:rsidR="00BA3138" w:rsidRPr="003421AD" w:rsidRDefault="00BA3138" w:rsidP="0004766E">
      <w:pPr>
        <w:spacing w:beforeLines="20" w:afterLines="20" w:line="480" w:lineRule="exact"/>
        <w:ind w:firstLineChars="200" w:firstLine="602"/>
        <w:rPr>
          <w:rFonts w:ascii="仿宋" w:eastAsia="仿宋" w:hAnsi="仿宋"/>
          <w:b/>
          <w:sz w:val="30"/>
          <w:szCs w:val="30"/>
        </w:rPr>
      </w:pPr>
      <w:r w:rsidRPr="003421AD">
        <w:rPr>
          <w:rFonts w:ascii="仿宋" w:eastAsia="仿宋" w:hAnsi="仿宋" w:hint="eastAsia"/>
          <w:b/>
          <w:sz w:val="30"/>
          <w:szCs w:val="30"/>
        </w:rPr>
        <w:t>五、注册会计师对财务报表审计的责任</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w:t>
      </w:r>
      <w:r w:rsidRPr="003421AD">
        <w:rPr>
          <w:rFonts w:ascii="仿宋" w:eastAsia="仿宋" w:hAnsi="仿宋" w:hint="eastAsia"/>
          <w:sz w:val="30"/>
          <w:szCs w:val="30"/>
        </w:rPr>
        <w:lastRenderedPageBreak/>
        <w:t>济决策，则通常认为错报是重大的。</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在按照审计准则执行审计工作的过程中，我们运用职业判断，并保持职业怀疑。同时，我们也执行以下工作：</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（2）了解与审计相关的内部控制，以设计恰当的审计程序，但目的并非对内部控制的有效性发表意见。</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（3）评价管理层选用会计政策的恰当性和作出会计估计及相关披露的合理性。</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4）对管理层使用持续经营假设的恰当性得出结论。同时，根据获取的审计证据，就可能导致对普陀农村商业银行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普陀农村商业银行不能持续经营。</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（5）评价财务报表的总体列报、结构和内容（包括披露），并评价财务报表是否公允反映相关交易和事项。</w:t>
      </w:r>
    </w:p>
    <w:p w:rsidR="00BA3138" w:rsidRPr="003421AD" w:rsidRDefault="00BA3138" w:rsidP="0004766E">
      <w:pPr>
        <w:spacing w:beforeLines="20" w:afterLines="20" w:line="480" w:lineRule="exact"/>
        <w:ind w:firstLineChars="200" w:firstLine="600"/>
        <w:rPr>
          <w:rFonts w:ascii="仿宋" w:eastAsia="仿宋" w:hAnsi="仿宋"/>
          <w:sz w:val="30"/>
          <w:szCs w:val="30"/>
        </w:rPr>
      </w:pPr>
      <w:r w:rsidRPr="003421AD">
        <w:rPr>
          <w:rFonts w:ascii="仿宋" w:eastAsia="仿宋" w:hAnsi="仿宋" w:hint="eastAsia"/>
          <w:sz w:val="30"/>
          <w:szCs w:val="30"/>
        </w:rPr>
        <w:t>我们与治理层就计划的审计范围、时间安排和重大审计发现等事项进行沟通，包括沟通我们在审计中识别出的值得关注的内部控制缺陷。</w:t>
      </w:r>
    </w:p>
    <w:p w:rsidR="00BA3138" w:rsidRPr="003421AD" w:rsidRDefault="00BA3138" w:rsidP="0004766E">
      <w:pPr>
        <w:tabs>
          <w:tab w:val="left" w:pos="5040"/>
        </w:tabs>
        <w:spacing w:beforeLines="20" w:afterLines="20" w:line="480" w:lineRule="exact"/>
        <w:ind w:firstLineChars="1200" w:firstLine="3600"/>
        <w:rPr>
          <w:rFonts w:ascii="仿宋" w:eastAsia="仿宋" w:hAnsi="仿宋"/>
          <w:kern w:val="0"/>
          <w:sz w:val="30"/>
          <w:szCs w:val="30"/>
        </w:rPr>
      </w:pPr>
      <w:r w:rsidRPr="003421AD">
        <w:rPr>
          <w:rFonts w:ascii="仿宋" w:eastAsia="仿宋" w:hAnsi="仿宋" w:hint="eastAsia"/>
          <w:kern w:val="0"/>
          <w:sz w:val="30"/>
          <w:szCs w:val="30"/>
        </w:rPr>
        <w:t xml:space="preserve">浙江浙经天策会计师事务所有限公司        </w:t>
      </w:r>
      <w:r w:rsidRPr="003421AD">
        <w:rPr>
          <w:rFonts w:ascii="仿宋" w:eastAsia="仿宋" w:hAnsi="仿宋"/>
          <w:kern w:val="0"/>
          <w:sz w:val="30"/>
          <w:szCs w:val="30"/>
        </w:rPr>
        <w:t xml:space="preserve">  </w:t>
      </w:r>
      <w:r w:rsidRPr="003421AD">
        <w:rPr>
          <w:rFonts w:ascii="仿宋" w:eastAsia="仿宋" w:hAnsi="仿宋" w:hint="eastAsia"/>
          <w:kern w:val="0"/>
          <w:sz w:val="30"/>
          <w:szCs w:val="30"/>
        </w:rPr>
        <w:t xml:space="preserve"> </w:t>
      </w:r>
    </w:p>
    <w:p w:rsidR="0020692C" w:rsidRPr="00543288" w:rsidRDefault="00BA3138" w:rsidP="00CB6CA3">
      <w:pPr>
        <w:spacing w:beforeLines="20" w:afterLines="20" w:line="500" w:lineRule="exact"/>
        <w:ind w:firstLineChars="1800" w:firstLine="5400"/>
        <w:rPr>
          <w:rFonts w:ascii="宋体" w:hAnsi="宋体"/>
          <w:kern w:val="0"/>
          <w:sz w:val="28"/>
          <w:szCs w:val="28"/>
        </w:rPr>
      </w:pPr>
      <w:r w:rsidRPr="003421AD">
        <w:rPr>
          <w:rFonts w:ascii="仿宋" w:eastAsia="仿宋" w:hAnsi="仿宋" w:hint="eastAsia"/>
          <w:kern w:val="0"/>
          <w:sz w:val="30"/>
          <w:szCs w:val="30"/>
        </w:rPr>
        <w:t xml:space="preserve">中国·杭州            </w:t>
      </w:r>
      <w:r w:rsidR="00A17876">
        <w:rPr>
          <w:rFonts w:ascii="宋体" w:hAnsi="宋体" w:hint="eastAsia"/>
          <w:kern w:val="0"/>
          <w:sz w:val="28"/>
          <w:szCs w:val="28"/>
        </w:rPr>
        <w:t xml:space="preserve">   </w:t>
      </w:r>
      <w:r w:rsidR="003A7395" w:rsidRPr="00A17876">
        <w:rPr>
          <w:rFonts w:ascii="宋体" w:hAnsi="宋体" w:hint="eastAsia"/>
          <w:kern w:val="0"/>
          <w:sz w:val="28"/>
          <w:szCs w:val="28"/>
        </w:rPr>
        <w:t xml:space="preserve"> </w:t>
      </w:r>
    </w:p>
    <w:sectPr w:rsidR="0020692C" w:rsidRPr="00543288" w:rsidSect="00D27FBD">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FF5" w:rsidRDefault="00CD3FF5" w:rsidP="00747C1F">
      <w:r>
        <w:separator/>
      </w:r>
    </w:p>
  </w:endnote>
  <w:endnote w:type="continuationSeparator" w:id="1">
    <w:p w:rsidR="00CD3FF5" w:rsidRDefault="00CD3FF5" w:rsidP="00747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3C" w:rsidRDefault="00CB6CA3" w:rsidP="00E749BD">
    <w:pPr>
      <w:pStyle w:val="a6"/>
      <w:jc w:val="center"/>
    </w:pPr>
    <w:r>
      <w:rPr>
        <w:rStyle w:val="a8"/>
      </w:rPr>
      <w:fldChar w:fldCharType="begin"/>
    </w:r>
    <w:r w:rsidR="009A303C">
      <w:rPr>
        <w:rStyle w:val="a8"/>
      </w:rPr>
      <w:instrText xml:space="preserve"> PAGE </w:instrText>
    </w:r>
    <w:r>
      <w:rPr>
        <w:rStyle w:val="a8"/>
      </w:rPr>
      <w:fldChar w:fldCharType="separate"/>
    </w:r>
    <w:r w:rsidR="0004766E">
      <w:rPr>
        <w:rStyle w:val="a8"/>
        <w:noProof/>
      </w:rPr>
      <w:t>24</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FF5" w:rsidRDefault="00CD3FF5" w:rsidP="00747C1F">
      <w:r>
        <w:separator/>
      </w:r>
    </w:p>
  </w:footnote>
  <w:footnote w:type="continuationSeparator" w:id="1">
    <w:p w:rsidR="00CD3FF5" w:rsidRDefault="00CD3FF5" w:rsidP="00747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3DFD5"/>
    <w:multiLevelType w:val="singleLevel"/>
    <w:tmpl w:val="A2F3DFD5"/>
    <w:lvl w:ilvl="0">
      <w:start w:val="3"/>
      <w:numFmt w:val="chineseCounting"/>
      <w:suff w:val="nothing"/>
      <w:lvlText w:val="%1、"/>
      <w:lvlJc w:val="left"/>
      <w:rPr>
        <w:rFonts w:hint="eastAsia"/>
      </w:rPr>
    </w:lvl>
  </w:abstractNum>
  <w:abstractNum w:abstractNumId="1">
    <w:nsid w:val="E7F54BEB"/>
    <w:multiLevelType w:val="singleLevel"/>
    <w:tmpl w:val="A29EFB8C"/>
    <w:lvl w:ilvl="0">
      <w:start w:val="1"/>
      <w:numFmt w:val="chineseCounting"/>
      <w:suff w:val="nothing"/>
      <w:lvlText w:val="（%1）"/>
      <w:lvlJc w:val="left"/>
      <w:rPr>
        <w:rFonts w:ascii="楷体" w:eastAsia="楷体" w:hAnsi="楷体" w:hint="eastAsia"/>
      </w:rPr>
    </w:lvl>
  </w:abstractNum>
  <w:abstractNum w:abstractNumId="2">
    <w:nsid w:val="0EE046D3"/>
    <w:multiLevelType w:val="singleLevel"/>
    <w:tmpl w:val="0EE046D3"/>
    <w:lvl w:ilvl="0">
      <w:start w:val="21"/>
      <w:numFmt w:val="decimal"/>
      <w:pStyle w:val="a"/>
      <w:suff w:val="nothing"/>
      <w:lvlText w:val="%1."/>
      <w:lvlJc w:val="left"/>
      <w:pPr>
        <w:tabs>
          <w:tab w:val="left" w:pos="0"/>
        </w:tabs>
        <w:ind w:left="0" w:firstLine="403"/>
      </w:pPr>
      <w:rPr>
        <w:rFonts w:ascii="Times New Roman" w:eastAsia="宋体" w:hAnsi="Times New Roman" w:cs="Times New Roman" w:hint="default"/>
        <w:b/>
        <w:bCs/>
        <w:color w:val="FF0000"/>
        <w:sz w:val="21"/>
        <w:szCs w:val="21"/>
      </w:rPr>
    </w:lvl>
  </w:abstractNum>
  <w:abstractNum w:abstractNumId="3">
    <w:nsid w:val="2139DA0D"/>
    <w:multiLevelType w:val="singleLevel"/>
    <w:tmpl w:val="2139DA0D"/>
    <w:lvl w:ilvl="0">
      <w:start w:val="2"/>
      <w:numFmt w:val="chineseCounting"/>
      <w:suff w:val="nothing"/>
      <w:lvlText w:val="（%1）"/>
      <w:lvlJc w:val="left"/>
      <w:rPr>
        <w:rFonts w:ascii="楷体" w:eastAsia="楷体" w:hAnsi="楷体" w:cs="楷体" w:hint="eastAsia"/>
      </w:rPr>
    </w:lvl>
  </w:abstractNum>
  <w:abstractNum w:abstractNumId="4">
    <w:nsid w:val="28FA49BA"/>
    <w:multiLevelType w:val="hybridMultilevel"/>
    <w:tmpl w:val="96FCE75C"/>
    <w:lvl w:ilvl="0" w:tplc="F0161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418872"/>
    <w:multiLevelType w:val="singleLevel"/>
    <w:tmpl w:val="25BAACB6"/>
    <w:lvl w:ilvl="0">
      <w:start w:val="1"/>
      <w:numFmt w:val="chineseCounting"/>
      <w:suff w:val="nothing"/>
      <w:lvlText w:val="（%1）"/>
      <w:lvlJc w:val="left"/>
      <w:pPr>
        <w:ind w:left="0" w:firstLine="420"/>
      </w:pPr>
      <w:rPr>
        <w:rFonts w:ascii="楷体" w:eastAsia="楷体" w:hAnsi="楷体" w:cs="楷体_GB2312" w:hint="eastAsia"/>
      </w:rPr>
    </w:lvl>
  </w:abstractNum>
  <w:abstractNum w:abstractNumId="6">
    <w:nsid w:val="347E7C1F"/>
    <w:multiLevelType w:val="hybridMultilevel"/>
    <w:tmpl w:val="9FE0F54C"/>
    <w:lvl w:ilvl="0" w:tplc="5D54C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075EDC"/>
    <w:multiLevelType w:val="multilevel"/>
    <w:tmpl w:val="5B075ED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5E7EAB12"/>
    <w:multiLevelType w:val="singleLevel"/>
    <w:tmpl w:val="5E7EAB12"/>
    <w:lvl w:ilvl="0">
      <w:start w:val="6"/>
      <w:numFmt w:val="chineseCounting"/>
      <w:suff w:val="nothing"/>
      <w:lvlText w:val="（%1）"/>
      <w:lvlJc w:val="left"/>
      <w:rPr>
        <w:rFonts w:hint="eastAsia"/>
      </w:rPr>
    </w:lvl>
  </w:abstractNum>
  <w:abstractNum w:abstractNumId="9">
    <w:nsid w:val="73316348"/>
    <w:multiLevelType w:val="singleLevel"/>
    <w:tmpl w:val="73316348"/>
    <w:lvl w:ilvl="0">
      <w:start w:val="1"/>
      <w:numFmt w:val="chineseCounting"/>
      <w:suff w:val="nothing"/>
      <w:lvlText w:val="%1、"/>
      <w:lvlJc w:val="left"/>
      <w:rPr>
        <w:rFonts w:hint="eastAsia"/>
      </w:rPr>
    </w:lvl>
  </w:abstractNum>
  <w:abstractNum w:abstractNumId="10">
    <w:nsid w:val="739B495B"/>
    <w:multiLevelType w:val="hybridMultilevel"/>
    <w:tmpl w:val="5C50FA30"/>
    <w:lvl w:ilvl="0" w:tplc="7AB8481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BFA6F2"/>
    <w:multiLevelType w:val="singleLevel"/>
    <w:tmpl w:val="75BFA6F2"/>
    <w:lvl w:ilvl="0">
      <w:start w:val="1"/>
      <w:numFmt w:val="chineseCounting"/>
      <w:suff w:val="nothing"/>
      <w:lvlText w:val="（%1）"/>
      <w:lvlJc w:val="left"/>
      <w:pPr>
        <w:ind w:left="0" w:firstLine="420"/>
      </w:pPr>
      <w:rPr>
        <w:rFonts w:hint="eastAsia"/>
      </w:rPr>
    </w:lvl>
  </w:abstractNum>
  <w:abstractNum w:abstractNumId="12">
    <w:nsid w:val="7702FBA4"/>
    <w:multiLevelType w:val="singleLevel"/>
    <w:tmpl w:val="7702FBA4"/>
    <w:lvl w:ilvl="0">
      <w:start w:val="2"/>
      <w:numFmt w:val="chineseCounting"/>
      <w:suff w:val="nothing"/>
      <w:lvlText w:val="（%1）"/>
      <w:lvlJc w:val="left"/>
      <w:rPr>
        <w:rFonts w:hint="eastAsia"/>
      </w:rPr>
    </w:lvl>
  </w:abstractNum>
  <w:num w:numId="1">
    <w:abstractNumId w:val="2"/>
  </w:num>
  <w:num w:numId="2">
    <w:abstractNumId w:val="6"/>
  </w:num>
  <w:num w:numId="3">
    <w:abstractNumId w:val="10"/>
  </w:num>
  <w:num w:numId="4">
    <w:abstractNumId w:val="7"/>
  </w:num>
  <w:num w:numId="5">
    <w:abstractNumId w:val="3"/>
  </w:num>
  <w:num w:numId="6">
    <w:abstractNumId w:val="4"/>
  </w:num>
  <w:num w:numId="7">
    <w:abstractNumId w:val="11"/>
  </w:num>
  <w:num w:numId="8">
    <w:abstractNumId w:val="0"/>
  </w:num>
  <w:num w:numId="9">
    <w:abstractNumId w:val="5"/>
  </w:num>
  <w:num w:numId="10">
    <w:abstractNumId w:val="1"/>
  </w:num>
  <w:num w:numId="11">
    <w:abstractNumId w:val="9"/>
  </w:num>
  <w:num w:numId="12">
    <w:abstractNumId w:val="8"/>
  </w:num>
  <w:num w:numId="13">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A02"/>
    <w:rsid w:val="00017E50"/>
    <w:rsid w:val="000226A2"/>
    <w:rsid w:val="00022C84"/>
    <w:rsid w:val="00026D6C"/>
    <w:rsid w:val="00037451"/>
    <w:rsid w:val="00040C1D"/>
    <w:rsid w:val="00040EB3"/>
    <w:rsid w:val="0004112E"/>
    <w:rsid w:val="000437EA"/>
    <w:rsid w:val="0004766E"/>
    <w:rsid w:val="000511E8"/>
    <w:rsid w:val="0005214E"/>
    <w:rsid w:val="000539D0"/>
    <w:rsid w:val="00054A14"/>
    <w:rsid w:val="00054B00"/>
    <w:rsid w:val="00055463"/>
    <w:rsid w:val="000645BF"/>
    <w:rsid w:val="00064A9C"/>
    <w:rsid w:val="0006621B"/>
    <w:rsid w:val="00066FF6"/>
    <w:rsid w:val="00067815"/>
    <w:rsid w:val="000708E5"/>
    <w:rsid w:val="0007576F"/>
    <w:rsid w:val="00075FC7"/>
    <w:rsid w:val="000768D9"/>
    <w:rsid w:val="00076B7B"/>
    <w:rsid w:val="00082206"/>
    <w:rsid w:val="00086427"/>
    <w:rsid w:val="000900C6"/>
    <w:rsid w:val="00092706"/>
    <w:rsid w:val="000A01AA"/>
    <w:rsid w:val="000A0343"/>
    <w:rsid w:val="000A2490"/>
    <w:rsid w:val="000A5DD7"/>
    <w:rsid w:val="000A5EAA"/>
    <w:rsid w:val="000A6612"/>
    <w:rsid w:val="000A755A"/>
    <w:rsid w:val="000B180C"/>
    <w:rsid w:val="000B6AEA"/>
    <w:rsid w:val="000B6DC6"/>
    <w:rsid w:val="000C762A"/>
    <w:rsid w:val="000E0BD0"/>
    <w:rsid w:val="000E1778"/>
    <w:rsid w:val="000E662B"/>
    <w:rsid w:val="000F0F66"/>
    <w:rsid w:val="000F2EF0"/>
    <w:rsid w:val="000F6A21"/>
    <w:rsid w:val="00100B06"/>
    <w:rsid w:val="00101D9F"/>
    <w:rsid w:val="00114A7A"/>
    <w:rsid w:val="001157DA"/>
    <w:rsid w:val="00115A3C"/>
    <w:rsid w:val="001205FE"/>
    <w:rsid w:val="00122112"/>
    <w:rsid w:val="00122304"/>
    <w:rsid w:val="00123E0C"/>
    <w:rsid w:val="00123E90"/>
    <w:rsid w:val="00125998"/>
    <w:rsid w:val="0013039C"/>
    <w:rsid w:val="00132E20"/>
    <w:rsid w:val="0013580C"/>
    <w:rsid w:val="00135DCA"/>
    <w:rsid w:val="001415DE"/>
    <w:rsid w:val="001448A7"/>
    <w:rsid w:val="0014507C"/>
    <w:rsid w:val="001452B1"/>
    <w:rsid w:val="00147CB1"/>
    <w:rsid w:val="00150637"/>
    <w:rsid w:val="00160C33"/>
    <w:rsid w:val="0016430C"/>
    <w:rsid w:val="00170D6C"/>
    <w:rsid w:val="00172BA6"/>
    <w:rsid w:val="00173714"/>
    <w:rsid w:val="00182B4A"/>
    <w:rsid w:val="0018405B"/>
    <w:rsid w:val="00186B6B"/>
    <w:rsid w:val="001A2187"/>
    <w:rsid w:val="001A4E8B"/>
    <w:rsid w:val="001A6E8E"/>
    <w:rsid w:val="001A7C00"/>
    <w:rsid w:val="001A7D30"/>
    <w:rsid w:val="001B11DF"/>
    <w:rsid w:val="001B42AD"/>
    <w:rsid w:val="001B5D0A"/>
    <w:rsid w:val="001C17B9"/>
    <w:rsid w:val="001C2721"/>
    <w:rsid w:val="001C4C09"/>
    <w:rsid w:val="001C76D6"/>
    <w:rsid w:val="001D273F"/>
    <w:rsid w:val="001D5790"/>
    <w:rsid w:val="001E0113"/>
    <w:rsid w:val="001E1F04"/>
    <w:rsid w:val="001E6289"/>
    <w:rsid w:val="001F1526"/>
    <w:rsid w:val="001F22CB"/>
    <w:rsid w:val="001F5080"/>
    <w:rsid w:val="001F70ED"/>
    <w:rsid w:val="001F72A4"/>
    <w:rsid w:val="00200F2A"/>
    <w:rsid w:val="002066F7"/>
    <w:rsid w:val="0020692C"/>
    <w:rsid w:val="00207734"/>
    <w:rsid w:val="0021110C"/>
    <w:rsid w:val="002123A4"/>
    <w:rsid w:val="00213AD4"/>
    <w:rsid w:val="0021467D"/>
    <w:rsid w:val="002167E3"/>
    <w:rsid w:val="00221CD9"/>
    <w:rsid w:val="00221F95"/>
    <w:rsid w:val="0022294A"/>
    <w:rsid w:val="00224F68"/>
    <w:rsid w:val="0022651B"/>
    <w:rsid w:val="002378BE"/>
    <w:rsid w:val="0024783A"/>
    <w:rsid w:val="0026561C"/>
    <w:rsid w:val="00266B29"/>
    <w:rsid w:val="00274A17"/>
    <w:rsid w:val="00276A67"/>
    <w:rsid w:val="002818C4"/>
    <w:rsid w:val="00285A6C"/>
    <w:rsid w:val="00292DD8"/>
    <w:rsid w:val="00295991"/>
    <w:rsid w:val="002A29EF"/>
    <w:rsid w:val="002C00D5"/>
    <w:rsid w:val="002C0742"/>
    <w:rsid w:val="002C3D91"/>
    <w:rsid w:val="002C48D6"/>
    <w:rsid w:val="002D22E0"/>
    <w:rsid w:val="002D6032"/>
    <w:rsid w:val="002E69C5"/>
    <w:rsid w:val="002F2769"/>
    <w:rsid w:val="00302CFC"/>
    <w:rsid w:val="0030373E"/>
    <w:rsid w:val="00306A12"/>
    <w:rsid w:val="00310397"/>
    <w:rsid w:val="0031129E"/>
    <w:rsid w:val="0031198D"/>
    <w:rsid w:val="0031241B"/>
    <w:rsid w:val="00322581"/>
    <w:rsid w:val="003229BB"/>
    <w:rsid w:val="00333B3A"/>
    <w:rsid w:val="003365BD"/>
    <w:rsid w:val="00336C92"/>
    <w:rsid w:val="003433D8"/>
    <w:rsid w:val="00343788"/>
    <w:rsid w:val="00353079"/>
    <w:rsid w:val="00353124"/>
    <w:rsid w:val="00356DD4"/>
    <w:rsid w:val="003645B3"/>
    <w:rsid w:val="00372D84"/>
    <w:rsid w:val="00380866"/>
    <w:rsid w:val="00381686"/>
    <w:rsid w:val="00383373"/>
    <w:rsid w:val="003848DA"/>
    <w:rsid w:val="00385168"/>
    <w:rsid w:val="003919BD"/>
    <w:rsid w:val="00397FDB"/>
    <w:rsid w:val="003A0A3F"/>
    <w:rsid w:val="003A30BB"/>
    <w:rsid w:val="003A3840"/>
    <w:rsid w:val="003A3D18"/>
    <w:rsid w:val="003A7395"/>
    <w:rsid w:val="003B0905"/>
    <w:rsid w:val="003B0DE4"/>
    <w:rsid w:val="003B1C4A"/>
    <w:rsid w:val="003B2EC8"/>
    <w:rsid w:val="003B425D"/>
    <w:rsid w:val="003B55DA"/>
    <w:rsid w:val="003B59A2"/>
    <w:rsid w:val="003B71D0"/>
    <w:rsid w:val="003C0D15"/>
    <w:rsid w:val="003C6107"/>
    <w:rsid w:val="003C6638"/>
    <w:rsid w:val="003C79DB"/>
    <w:rsid w:val="003D35C4"/>
    <w:rsid w:val="003E1836"/>
    <w:rsid w:val="003E1AAC"/>
    <w:rsid w:val="003E1B0A"/>
    <w:rsid w:val="003E7449"/>
    <w:rsid w:val="003F07EF"/>
    <w:rsid w:val="003F3CCC"/>
    <w:rsid w:val="00402468"/>
    <w:rsid w:val="00410B8F"/>
    <w:rsid w:val="0041529C"/>
    <w:rsid w:val="00417435"/>
    <w:rsid w:val="00420673"/>
    <w:rsid w:val="0042163C"/>
    <w:rsid w:val="00430D1E"/>
    <w:rsid w:val="0043501C"/>
    <w:rsid w:val="00435DAC"/>
    <w:rsid w:val="004372E1"/>
    <w:rsid w:val="004441F4"/>
    <w:rsid w:val="00445B47"/>
    <w:rsid w:val="00451B1F"/>
    <w:rsid w:val="00460308"/>
    <w:rsid w:val="00460933"/>
    <w:rsid w:val="00461281"/>
    <w:rsid w:val="00463FE1"/>
    <w:rsid w:val="004654E8"/>
    <w:rsid w:val="00467A49"/>
    <w:rsid w:val="00467C9F"/>
    <w:rsid w:val="0047024B"/>
    <w:rsid w:val="0047174F"/>
    <w:rsid w:val="00472763"/>
    <w:rsid w:val="00472798"/>
    <w:rsid w:val="00473621"/>
    <w:rsid w:val="00476EDA"/>
    <w:rsid w:val="004815DE"/>
    <w:rsid w:val="00481CCA"/>
    <w:rsid w:val="0048263B"/>
    <w:rsid w:val="00482F6E"/>
    <w:rsid w:val="00492A02"/>
    <w:rsid w:val="004A13E9"/>
    <w:rsid w:val="004A148B"/>
    <w:rsid w:val="004A3BD8"/>
    <w:rsid w:val="004A3EAD"/>
    <w:rsid w:val="004A7640"/>
    <w:rsid w:val="004B1E21"/>
    <w:rsid w:val="004B219E"/>
    <w:rsid w:val="004B5712"/>
    <w:rsid w:val="004C1A0D"/>
    <w:rsid w:val="004C1F92"/>
    <w:rsid w:val="004C2095"/>
    <w:rsid w:val="004C62BD"/>
    <w:rsid w:val="004C77F2"/>
    <w:rsid w:val="004D124A"/>
    <w:rsid w:val="004D203A"/>
    <w:rsid w:val="004D410E"/>
    <w:rsid w:val="004F2A12"/>
    <w:rsid w:val="004F3DF3"/>
    <w:rsid w:val="004F6BA3"/>
    <w:rsid w:val="00503CAF"/>
    <w:rsid w:val="00504F75"/>
    <w:rsid w:val="00506295"/>
    <w:rsid w:val="0050790D"/>
    <w:rsid w:val="00511A73"/>
    <w:rsid w:val="005168B4"/>
    <w:rsid w:val="005222EF"/>
    <w:rsid w:val="00522E7C"/>
    <w:rsid w:val="00526483"/>
    <w:rsid w:val="005324D4"/>
    <w:rsid w:val="0053530D"/>
    <w:rsid w:val="00540474"/>
    <w:rsid w:val="00543288"/>
    <w:rsid w:val="00543A82"/>
    <w:rsid w:val="00543C3F"/>
    <w:rsid w:val="0054558A"/>
    <w:rsid w:val="005460E0"/>
    <w:rsid w:val="00554215"/>
    <w:rsid w:val="00554538"/>
    <w:rsid w:val="005549AF"/>
    <w:rsid w:val="0055584E"/>
    <w:rsid w:val="005609B9"/>
    <w:rsid w:val="00561D3A"/>
    <w:rsid w:val="00565D1E"/>
    <w:rsid w:val="00570AD0"/>
    <w:rsid w:val="00570CC8"/>
    <w:rsid w:val="00574A30"/>
    <w:rsid w:val="00575163"/>
    <w:rsid w:val="00581A03"/>
    <w:rsid w:val="00584EFC"/>
    <w:rsid w:val="00585128"/>
    <w:rsid w:val="005855B6"/>
    <w:rsid w:val="005948D0"/>
    <w:rsid w:val="00594F0A"/>
    <w:rsid w:val="005A075A"/>
    <w:rsid w:val="005A272B"/>
    <w:rsid w:val="005A67D2"/>
    <w:rsid w:val="005B2260"/>
    <w:rsid w:val="005B2C77"/>
    <w:rsid w:val="005B5DCC"/>
    <w:rsid w:val="005B7266"/>
    <w:rsid w:val="005C334A"/>
    <w:rsid w:val="005C5612"/>
    <w:rsid w:val="005D17EB"/>
    <w:rsid w:val="005D436C"/>
    <w:rsid w:val="005D5DEA"/>
    <w:rsid w:val="005E2ADC"/>
    <w:rsid w:val="005E4AB6"/>
    <w:rsid w:val="005E6155"/>
    <w:rsid w:val="005E75E4"/>
    <w:rsid w:val="005F02BF"/>
    <w:rsid w:val="005F3438"/>
    <w:rsid w:val="005F4D49"/>
    <w:rsid w:val="005F61F9"/>
    <w:rsid w:val="005F711F"/>
    <w:rsid w:val="005F7F5D"/>
    <w:rsid w:val="006044CC"/>
    <w:rsid w:val="00605C39"/>
    <w:rsid w:val="00612959"/>
    <w:rsid w:val="00612D55"/>
    <w:rsid w:val="00615D0B"/>
    <w:rsid w:val="00617203"/>
    <w:rsid w:val="006206D1"/>
    <w:rsid w:val="00623C2F"/>
    <w:rsid w:val="006246EA"/>
    <w:rsid w:val="00624B96"/>
    <w:rsid w:val="006250BA"/>
    <w:rsid w:val="00625996"/>
    <w:rsid w:val="00631888"/>
    <w:rsid w:val="0063205B"/>
    <w:rsid w:val="00632DF0"/>
    <w:rsid w:val="006359AA"/>
    <w:rsid w:val="00645581"/>
    <w:rsid w:val="006464FC"/>
    <w:rsid w:val="006469AC"/>
    <w:rsid w:val="006511D8"/>
    <w:rsid w:val="00653AA8"/>
    <w:rsid w:val="006548C6"/>
    <w:rsid w:val="00654A35"/>
    <w:rsid w:val="00655A5A"/>
    <w:rsid w:val="00655FAA"/>
    <w:rsid w:val="00663B3F"/>
    <w:rsid w:val="006667D2"/>
    <w:rsid w:val="006707BD"/>
    <w:rsid w:val="00670CA1"/>
    <w:rsid w:val="0067791F"/>
    <w:rsid w:val="00681F8C"/>
    <w:rsid w:val="0068344B"/>
    <w:rsid w:val="006856AE"/>
    <w:rsid w:val="00685938"/>
    <w:rsid w:val="0068597B"/>
    <w:rsid w:val="00686E51"/>
    <w:rsid w:val="00694269"/>
    <w:rsid w:val="006972F4"/>
    <w:rsid w:val="006A01C6"/>
    <w:rsid w:val="006A06EC"/>
    <w:rsid w:val="006A4833"/>
    <w:rsid w:val="006B17B9"/>
    <w:rsid w:val="006B69C7"/>
    <w:rsid w:val="006C05A7"/>
    <w:rsid w:val="006C0CD4"/>
    <w:rsid w:val="006C33EA"/>
    <w:rsid w:val="006C6E50"/>
    <w:rsid w:val="006D103E"/>
    <w:rsid w:val="006E03B5"/>
    <w:rsid w:val="006E1C51"/>
    <w:rsid w:val="006E53B6"/>
    <w:rsid w:val="006F13DA"/>
    <w:rsid w:val="007014AE"/>
    <w:rsid w:val="00724A30"/>
    <w:rsid w:val="0072767D"/>
    <w:rsid w:val="00737E20"/>
    <w:rsid w:val="00741CBE"/>
    <w:rsid w:val="00744CCA"/>
    <w:rsid w:val="00747C1F"/>
    <w:rsid w:val="00750A43"/>
    <w:rsid w:val="00755051"/>
    <w:rsid w:val="00761923"/>
    <w:rsid w:val="00763ED0"/>
    <w:rsid w:val="00773A7C"/>
    <w:rsid w:val="00777181"/>
    <w:rsid w:val="00780172"/>
    <w:rsid w:val="0078467F"/>
    <w:rsid w:val="007900D2"/>
    <w:rsid w:val="00791407"/>
    <w:rsid w:val="00793470"/>
    <w:rsid w:val="00793DFA"/>
    <w:rsid w:val="00794D2E"/>
    <w:rsid w:val="007953DA"/>
    <w:rsid w:val="00796A47"/>
    <w:rsid w:val="007A68A0"/>
    <w:rsid w:val="007A7983"/>
    <w:rsid w:val="007B0A5C"/>
    <w:rsid w:val="007B2BDA"/>
    <w:rsid w:val="007B39FF"/>
    <w:rsid w:val="007B4C17"/>
    <w:rsid w:val="007C0099"/>
    <w:rsid w:val="007C4695"/>
    <w:rsid w:val="007C4A1E"/>
    <w:rsid w:val="007C4DE7"/>
    <w:rsid w:val="007C4FC3"/>
    <w:rsid w:val="007C7A93"/>
    <w:rsid w:val="007D04E0"/>
    <w:rsid w:val="007D313F"/>
    <w:rsid w:val="007D417F"/>
    <w:rsid w:val="007D43B0"/>
    <w:rsid w:val="007D59C9"/>
    <w:rsid w:val="007D5B67"/>
    <w:rsid w:val="007D624F"/>
    <w:rsid w:val="007F28B5"/>
    <w:rsid w:val="007F2C8A"/>
    <w:rsid w:val="00800270"/>
    <w:rsid w:val="00800EB3"/>
    <w:rsid w:val="008014FC"/>
    <w:rsid w:val="008028CB"/>
    <w:rsid w:val="00802BF3"/>
    <w:rsid w:val="0081089A"/>
    <w:rsid w:val="0081104A"/>
    <w:rsid w:val="00814668"/>
    <w:rsid w:val="008235E3"/>
    <w:rsid w:val="00836464"/>
    <w:rsid w:val="00840DA2"/>
    <w:rsid w:val="0085012D"/>
    <w:rsid w:val="008514E7"/>
    <w:rsid w:val="00851847"/>
    <w:rsid w:val="00857A42"/>
    <w:rsid w:val="00860DA2"/>
    <w:rsid w:val="008611DF"/>
    <w:rsid w:val="0086265D"/>
    <w:rsid w:val="00864B90"/>
    <w:rsid w:val="008660C8"/>
    <w:rsid w:val="00880408"/>
    <w:rsid w:val="00882F2B"/>
    <w:rsid w:val="00892296"/>
    <w:rsid w:val="00894152"/>
    <w:rsid w:val="008945A6"/>
    <w:rsid w:val="0089726F"/>
    <w:rsid w:val="008A18C0"/>
    <w:rsid w:val="008A1C0F"/>
    <w:rsid w:val="008A461B"/>
    <w:rsid w:val="008B37F8"/>
    <w:rsid w:val="008B4E5D"/>
    <w:rsid w:val="008B5BB7"/>
    <w:rsid w:val="008C0688"/>
    <w:rsid w:val="008C27FC"/>
    <w:rsid w:val="008C2881"/>
    <w:rsid w:val="008C3DFD"/>
    <w:rsid w:val="008C47E4"/>
    <w:rsid w:val="008C4E13"/>
    <w:rsid w:val="008C6257"/>
    <w:rsid w:val="008C74B4"/>
    <w:rsid w:val="008D125D"/>
    <w:rsid w:val="008D14F2"/>
    <w:rsid w:val="008D1DB0"/>
    <w:rsid w:val="008D42BE"/>
    <w:rsid w:val="008D631A"/>
    <w:rsid w:val="008E4E9D"/>
    <w:rsid w:val="008F1537"/>
    <w:rsid w:val="008F3D33"/>
    <w:rsid w:val="008F58AB"/>
    <w:rsid w:val="008F67A1"/>
    <w:rsid w:val="0090272E"/>
    <w:rsid w:val="00903B66"/>
    <w:rsid w:val="00904A73"/>
    <w:rsid w:val="00906D6C"/>
    <w:rsid w:val="00910301"/>
    <w:rsid w:val="00910620"/>
    <w:rsid w:val="00913567"/>
    <w:rsid w:val="00914B71"/>
    <w:rsid w:val="009159EC"/>
    <w:rsid w:val="00917870"/>
    <w:rsid w:val="009207F2"/>
    <w:rsid w:val="00920F52"/>
    <w:rsid w:val="0092791D"/>
    <w:rsid w:val="009336EA"/>
    <w:rsid w:val="00933925"/>
    <w:rsid w:val="00935FB9"/>
    <w:rsid w:val="009366CA"/>
    <w:rsid w:val="00937CDC"/>
    <w:rsid w:val="00941C34"/>
    <w:rsid w:val="009460D4"/>
    <w:rsid w:val="00946940"/>
    <w:rsid w:val="0095068D"/>
    <w:rsid w:val="00956560"/>
    <w:rsid w:val="00957B5B"/>
    <w:rsid w:val="00957E95"/>
    <w:rsid w:val="009637BC"/>
    <w:rsid w:val="009638B9"/>
    <w:rsid w:val="0096598F"/>
    <w:rsid w:val="00975E42"/>
    <w:rsid w:val="0098265F"/>
    <w:rsid w:val="0098401A"/>
    <w:rsid w:val="00987689"/>
    <w:rsid w:val="009908F8"/>
    <w:rsid w:val="0099625B"/>
    <w:rsid w:val="009963FB"/>
    <w:rsid w:val="009973DD"/>
    <w:rsid w:val="009A1731"/>
    <w:rsid w:val="009A1F0A"/>
    <w:rsid w:val="009A303C"/>
    <w:rsid w:val="009A4AF5"/>
    <w:rsid w:val="009A67B3"/>
    <w:rsid w:val="009B11EF"/>
    <w:rsid w:val="009B1844"/>
    <w:rsid w:val="009B1A14"/>
    <w:rsid w:val="009B2669"/>
    <w:rsid w:val="009B2A73"/>
    <w:rsid w:val="009B3224"/>
    <w:rsid w:val="009B576D"/>
    <w:rsid w:val="009B6CE8"/>
    <w:rsid w:val="009C2860"/>
    <w:rsid w:val="009C3FF8"/>
    <w:rsid w:val="009C6097"/>
    <w:rsid w:val="009C723C"/>
    <w:rsid w:val="009D1812"/>
    <w:rsid w:val="009D7554"/>
    <w:rsid w:val="009E15B3"/>
    <w:rsid w:val="009E389A"/>
    <w:rsid w:val="009E46A6"/>
    <w:rsid w:val="009E5797"/>
    <w:rsid w:val="009E717E"/>
    <w:rsid w:val="009F03E1"/>
    <w:rsid w:val="009F4550"/>
    <w:rsid w:val="00A01D14"/>
    <w:rsid w:val="00A04C23"/>
    <w:rsid w:val="00A04CB3"/>
    <w:rsid w:val="00A12016"/>
    <w:rsid w:val="00A16E8A"/>
    <w:rsid w:val="00A17876"/>
    <w:rsid w:val="00A24766"/>
    <w:rsid w:val="00A2750F"/>
    <w:rsid w:val="00A2762B"/>
    <w:rsid w:val="00A31837"/>
    <w:rsid w:val="00A32B0F"/>
    <w:rsid w:val="00A34CF4"/>
    <w:rsid w:val="00A357BA"/>
    <w:rsid w:val="00A36833"/>
    <w:rsid w:val="00A42DF5"/>
    <w:rsid w:val="00A43F15"/>
    <w:rsid w:val="00A50704"/>
    <w:rsid w:val="00A56C51"/>
    <w:rsid w:val="00A60249"/>
    <w:rsid w:val="00A62D5B"/>
    <w:rsid w:val="00A62DC3"/>
    <w:rsid w:val="00A67445"/>
    <w:rsid w:val="00A7009D"/>
    <w:rsid w:val="00A70CD1"/>
    <w:rsid w:val="00A72127"/>
    <w:rsid w:val="00A72E46"/>
    <w:rsid w:val="00A81594"/>
    <w:rsid w:val="00A82D72"/>
    <w:rsid w:val="00A83511"/>
    <w:rsid w:val="00A84B00"/>
    <w:rsid w:val="00A908C6"/>
    <w:rsid w:val="00A92E47"/>
    <w:rsid w:val="00A93013"/>
    <w:rsid w:val="00A95D01"/>
    <w:rsid w:val="00AA0BE0"/>
    <w:rsid w:val="00AA6954"/>
    <w:rsid w:val="00AB0DE6"/>
    <w:rsid w:val="00AB41EA"/>
    <w:rsid w:val="00AB6351"/>
    <w:rsid w:val="00AC716F"/>
    <w:rsid w:val="00AD3D82"/>
    <w:rsid w:val="00AD4193"/>
    <w:rsid w:val="00AD4C32"/>
    <w:rsid w:val="00AD5A5E"/>
    <w:rsid w:val="00AD7CA9"/>
    <w:rsid w:val="00AE26B5"/>
    <w:rsid w:val="00AE5499"/>
    <w:rsid w:val="00AF16D4"/>
    <w:rsid w:val="00AF24EF"/>
    <w:rsid w:val="00AF285A"/>
    <w:rsid w:val="00AF4B68"/>
    <w:rsid w:val="00B00B65"/>
    <w:rsid w:val="00B01CD1"/>
    <w:rsid w:val="00B04596"/>
    <w:rsid w:val="00B065E8"/>
    <w:rsid w:val="00B075B9"/>
    <w:rsid w:val="00B13AE5"/>
    <w:rsid w:val="00B16EF9"/>
    <w:rsid w:val="00B26D01"/>
    <w:rsid w:val="00B271DC"/>
    <w:rsid w:val="00B321B0"/>
    <w:rsid w:val="00B328D2"/>
    <w:rsid w:val="00B32F20"/>
    <w:rsid w:val="00B35538"/>
    <w:rsid w:val="00B42182"/>
    <w:rsid w:val="00B43765"/>
    <w:rsid w:val="00B457DB"/>
    <w:rsid w:val="00B477F0"/>
    <w:rsid w:val="00B520A7"/>
    <w:rsid w:val="00B54389"/>
    <w:rsid w:val="00B547F2"/>
    <w:rsid w:val="00B56BC7"/>
    <w:rsid w:val="00B56E5A"/>
    <w:rsid w:val="00B5723F"/>
    <w:rsid w:val="00B62E65"/>
    <w:rsid w:val="00B63CE8"/>
    <w:rsid w:val="00B64672"/>
    <w:rsid w:val="00B65A6B"/>
    <w:rsid w:val="00B67C54"/>
    <w:rsid w:val="00B71A49"/>
    <w:rsid w:val="00B761EC"/>
    <w:rsid w:val="00B778CA"/>
    <w:rsid w:val="00B8204B"/>
    <w:rsid w:val="00B852A3"/>
    <w:rsid w:val="00B867D7"/>
    <w:rsid w:val="00B86BF3"/>
    <w:rsid w:val="00B9021C"/>
    <w:rsid w:val="00B91674"/>
    <w:rsid w:val="00B95571"/>
    <w:rsid w:val="00B95B3A"/>
    <w:rsid w:val="00B9673E"/>
    <w:rsid w:val="00BA10D9"/>
    <w:rsid w:val="00BA28BE"/>
    <w:rsid w:val="00BA2ED6"/>
    <w:rsid w:val="00BA3138"/>
    <w:rsid w:val="00BA5A84"/>
    <w:rsid w:val="00BA5D0B"/>
    <w:rsid w:val="00BB3BB0"/>
    <w:rsid w:val="00BB47B9"/>
    <w:rsid w:val="00BB7FEB"/>
    <w:rsid w:val="00BC1749"/>
    <w:rsid w:val="00BC1882"/>
    <w:rsid w:val="00BC3670"/>
    <w:rsid w:val="00BC479D"/>
    <w:rsid w:val="00BE33D8"/>
    <w:rsid w:val="00BE4F64"/>
    <w:rsid w:val="00BE74AC"/>
    <w:rsid w:val="00BF2E03"/>
    <w:rsid w:val="00BF3730"/>
    <w:rsid w:val="00BF42F4"/>
    <w:rsid w:val="00BF4907"/>
    <w:rsid w:val="00BF5AED"/>
    <w:rsid w:val="00C02877"/>
    <w:rsid w:val="00C029AC"/>
    <w:rsid w:val="00C05BB3"/>
    <w:rsid w:val="00C11B70"/>
    <w:rsid w:val="00C171F7"/>
    <w:rsid w:val="00C21CED"/>
    <w:rsid w:val="00C22A7E"/>
    <w:rsid w:val="00C23647"/>
    <w:rsid w:val="00C239ED"/>
    <w:rsid w:val="00C3381C"/>
    <w:rsid w:val="00C378D1"/>
    <w:rsid w:val="00C422EE"/>
    <w:rsid w:val="00C56140"/>
    <w:rsid w:val="00C56F30"/>
    <w:rsid w:val="00C60128"/>
    <w:rsid w:val="00C605C9"/>
    <w:rsid w:val="00C605E8"/>
    <w:rsid w:val="00C60A06"/>
    <w:rsid w:val="00C66D0B"/>
    <w:rsid w:val="00C71637"/>
    <w:rsid w:val="00C7555C"/>
    <w:rsid w:val="00C8405A"/>
    <w:rsid w:val="00C90CC2"/>
    <w:rsid w:val="00C94AEA"/>
    <w:rsid w:val="00C94C7E"/>
    <w:rsid w:val="00C97137"/>
    <w:rsid w:val="00CA0CAD"/>
    <w:rsid w:val="00CA18C5"/>
    <w:rsid w:val="00CA5F1F"/>
    <w:rsid w:val="00CA6AB9"/>
    <w:rsid w:val="00CB0F73"/>
    <w:rsid w:val="00CB27F0"/>
    <w:rsid w:val="00CB6CA3"/>
    <w:rsid w:val="00CC1977"/>
    <w:rsid w:val="00CC260F"/>
    <w:rsid w:val="00CC4542"/>
    <w:rsid w:val="00CC5791"/>
    <w:rsid w:val="00CC7BFB"/>
    <w:rsid w:val="00CD1CF0"/>
    <w:rsid w:val="00CD336B"/>
    <w:rsid w:val="00CD3703"/>
    <w:rsid w:val="00CD3FF5"/>
    <w:rsid w:val="00CD4BF1"/>
    <w:rsid w:val="00CD5116"/>
    <w:rsid w:val="00CD5877"/>
    <w:rsid w:val="00CE0DB9"/>
    <w:rsid w:val="00CE1857"/>
    <w:rsid w:val="00CE240E"/>
    <w:rsid w:val="00CE6236"/>
    <w:rsid w:val="00CF009A"/>
    <w:rsid w:val="00CF2FEF"/>
    <w:rsid w:val="00CF557B"/>
    <w:rsid w:val="00CF623E"/>
    <w:rsid w:val="00CF7ECE"/>
    <w:rsid w:val="00D12850"/>
    <w:rsid w:val="00D169E3"/>
    <w:rsid w:val="00D20F70"/>
    <w:rsid w:val="00D2346E"/>
    <w:rsid w:val="00D24E52"/>
    <w:rsid w:val="00D25859"/>
    <w:rsid w:val="00D2727F"/>
    <w:rsid w:val="00D27FBD"/>
    <w:rsid w:val="00D317DC"/>
    <w:rsid w:val="00D449BD"/>
    <w:rsid w:val="00D45F6D"/>
    <w:rsid w:val="00D47193"/>
    <w:rsid w:val="00D50675"/>
    <w:rsid w:val="00D51C13"/>
    <w:rsid w:val="00D52457"/>
    <w:rsid w:val="00D54D3B"/>
    <w:rsid w:val="00D55679"/>
    <w:rsid w:val="00D56123"/>
    <w:rsid w:val="00D60622"/>
    <w:rsid w:val="00D60AED"/>
    <w:rsid w:val="00D61AF0"/>
    <w:rsid w:val="00D64AB7"/>
    <w:rsid w:val="00D64D0A"/>
    <w:rsid w:val="00D71CA9"/>
    <w:rsid w:val="00D71FC1"/>
    <w:rsid w:val="00D73FD8"/>
    <w:rsid w:val="00D8151B"/>
    <w:rsid w:val="00D84BF4"/>
    <w:rsid w:val="00D86FE7"/>
    <w:rsid w:val="00D90194"/>
    <w:rsid w:val="00D93788"/>
    <w:rsid w:val="00D955F5"/>
    <w:rsid w:val="00D96E9C"/>
    <w:rsid w:val="00DA03AD"/>
    <w:rsid w:val="00DA62BD"/>
    <w:rsid w:val="00DA785D"/>
    <w:rsid w:val="00DA7CDE"/>
    <w:rsid w:val="00DB075C"/>
    <w:rsid w:val="00DB120C"/>
    <w:rsid w:val="00DB2BB4"/>
    <w:rsid w:val="00DB59B3"/>
    <w:rsid w:val="00DB77C5"/>
    <w:rsid w:val="00DB7A92"/>
    <w:rsid w:val="00DC219E"/>
    <w:rsid w:val="00DD21B4"/>
    <w:rsid w:val="00DD324B"/>
    <w:rsid w:val="00DD3C50"/>
    <w:rsid w:val="00DE38C1"/>
    <w:rsid w:val="00DE4977"/>
    <w:rsid w:val="00DF0B5D"/>
    <w:rsid w:val="00DF6117"/>
    <w:rsid w:val="00E00A84"/>
    <w:rsid w:val="00E019C2"/>
    <w:rsid w:val="00E05E44"/>
    <w:rsid w:val="00E1587D"/>
    <w:rsid w:val="00E16CE7"/>
    <w:rsid w:val="00E30AE8"/>
    <w:rsid w:val="00E321D3"/>
    <w:rsid w:val="00E35C1E"/>
    <w:rsid w:val="00E44FD8"/>
    <w:rsid w:val="00E50AEF"/>
    <w:rsid w:val="00E52673"/>
    <w:rsid w:val="00E60A86"/>
    <w:rsid w:val="00E61A0B"/>
    <w:rsid w:val="00E6497A"/>
    <w:rsid w:val="00E7086C"/>
    <w:rsid w:val="00E73F28"/>
    <w:rsid w:val="00E749BD"/>
    <w:rsid w:val="00E74B1F"/>
    <w:rsid w:val="00E80066"/>
    <w:rsid w:val="00E82A08"/>
    <w:rsid w:val="00E9257A"/>
    <w:rsid w:val="00E931A4"/>
    <w:rsid w:val="00E949BC"/>
    <w:rsid w:val="00E95800"/>
    <w:rsid w:val="00EA195E"/>
    <w:rsid w:val="00EA4BA8"/>
    <w:rsid w:val="00EA644C"/>
    <w:rsid w:val="00EB1109"/>
    <w:rsid w:val="00EB248D"/>
    <w:rsid w:val="00EB2C90"/>
    <w:rsid w:val="00EB2CC9"/>
    <w:rsid w:val="00EB496E"/>
    <w:rsid w:val="00EC5950"/>
    <w:rsid w:val="00EC7A7C"/>
    <w:rsid w:val="00ED29EE"/>
    <w:rsid w:val="00EE0DEB"/>
    <w:rsid w:val="00EE4345"/>
    <w:rsid w:val="00EE593C"/>
    <w:rsid w:val="00EE5FBB"/>
    <w:rsid w:val="00EE737A"/>
    <w:rsid w:val="00EF0A96"/>
    <w:rsid w:val="00EF0BC8"/>
    <w:rsid w:val="00EF204B"/>
    <w:rsid w:val="00EF45A8"/>
    <w:rsid w:val="00F0086D"/>
    <w:rsid w:val="00F01CAA"/>
    <w:rsid w:val="00F05E8A"/>
    <w:rsid w:val="00F14726"/>
    <w:rsid w:val="00F15627"/>
    <w:rsid w:val="00F17231"/>
    <w:rsid w:val="00F20621"/>
    <w:rsid w:val="00F23C02"/>
    <w:rsid w:val="00F27B5D"/>
    <w:rsid w:val="00F30A03"/>
    <w:rsid w:val="00F347F6"/>
    <w:rsid w:val="00F37126"/>
    <w:rsid w:val="00F37ABC"/>
    <w:rsid w:val="00F40DCF"/>
    <w:rsid w:val="00F461BA"/>
    <w:rsid w:val="00F472A1"/>
    <w:rsid w:val="00F55EF8"/>
    <w:rsid w:val="00F6264D"/>
    <w:rsid w:val="00F67C09"/>
    <w:rsid w:val="00F67E54"/>
    <w:rsid w:val="00F71937"/>
    <w:rsid w:val="00F7526B"/>
    <w:rsid w:val="00F773C9"/>
    <w:rsid w:val="00F83D28"/>
    <w:rsid w:val="00F87F0B"/>
    <w:rsid w:val="00F90947"/>
    <w:rsid w:val="00F912F3"/>
    <w:rsid w:val="00F92B2B"/>
    <w:rsid w:val="00F93A58"/>
    <w:rsid w:val="00F9646A"/>
    <w:rsid w:val="00F9737D"/>
    <w:rsid w:val="00FA16FB"/>
    <w:rsid w:val="00FA287A"/>
    <w:rsid w:val="00FA3102"/>
    <w:rsid w:val="00FA525B"/>
    <w:rsid w:val="00FB148A"/>
    <w:rsid w:val="00FB1B0D"/>
    <w:rsid w:val="00FB1D71"/>
    <w:rsid w:val="00FC1334"/>
    <w:rsid w:val="00FC3784"/>
    <w:rsid w:val="00FD37EA"/>
    <w:rsid w:val="00FD4235"/>
    <w:rsid w:val="00FD5E23"/>
    <w:rsid w:val="00FE66D5"/>
    <w:rsid w:val="00FE6A70"/>
    <w:rsid w:val="00FE7470"/>
    <w:rsid w:val="00FE7A51"/>
    <w:rsid w:val="00FF3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annotation text" w:uiPriority="0"/>
    <w:lsdException w:name="header" w:uiPriority="0" w:qFormat="1"/>
    <w:lsdException w:name="footer" w:qFormat="1"/>
    <w:lsdException w:name="caption" w:locked="1" w:uiPriority="0" w:qFormat="1"/>
    <w:lsdException w:name="footnote reference" w:uiPriority="0" w:qFormat="1"/>
    <w:lsdException w:name="annotation reference" w:uiPriority="0"/>
    <w:lsdException w:name="page number" w:uiPriority="0"/>
    <w:lsdException w:name="endnote reference" w:uiPriority="0" w:qFormat="1"/>
    <w:lsdException w:name="endnote text" w:uiPriority="0" w:qFormat="1"/>
    <w:lsdException w:name="Title" w:locked="1" w:semiHidden="0" w:uiPriority="0" w:unhideWhenUsed="0" w:qFormat="1"/>
    <w:lsdException w:name="Default Paragraph Font" w:locked="1" w:semiHidden="0" w:uiPriority="0" w:unhideWhenUsed="0"/>
    <w:lsdException w:name="Body Text" w:qFormat="1"/>
    <w:lsdException w:name="Body Text Indent" w:uiPriority="0"/>
    <w:lsdException w:name="Subtitle" w:locked="1"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Document Map" w:qFormat="1"/>
    <w:lsdException w:name="Plain Text" w:uiPriority="0" w:qFormat="1"/>
    <w:lsdException w:name="Normal (Web)" w:qFormat="1"/>
    <w:lsdException w:name="HTML Preformatted" w:uiPriority="0"/>
    <w:lsdException w:name="annotation subject" w:uiPriority="0"/>
    <w:lsdException w:name="Table Grid" w:locked="1"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2A02"/>
    <w:pPr>
      <w:widowControl w:val="0"/>
      <w:jc w:val="both"/>
    </w:pPr>
    <w:rPr>
      <w:rFonts w:ascii="Times New Roman" w:hAnsi="Times New Roman"/>
      <w:szCs w:val="24"/>
    </w:rPr>
  </w:style>
  <w:style w:type="paragraph" w:styleId="1">
    <w:name w:val="heading 1"/>
    <w:basedOn w:val="a0"/>
    <w:next w:val="a0"/>
    <w:link w:val="1Char"/>
    <w:qFormat/>
    <w:locked/>
    <w:rsid w:val="008C47E4"/>
    <w:pPr>
      <w:keepNext/>
      <w:keepLines/>
      <w:spacing w:before="340" w:after="330" w:line="578" w:lineRule="auto"/>
      <w:outlineLvl w:val="0"/>
    </w:pPr>
    <w:rPr>
      <w:b/>
      <w:bCs/>
      <w:kern w:val="44"/>
      <w:sz w:val="44"/>
      <w:szCs w:val="44"/>
    </w:rPr>
  </w:style>
  <w:style w:type="paragraph" w:styleId="2">
    <w:name w:val="heading 2"/>
    <w:basedOn w:val="a0"/>
    <w:link w:val="2Char"/>
    <w:qFormat/>
    <w:locked/>
    <w:rsid w:val="00A60249"/>
    <w:pPr>
      <w:widowControl/>
      <w:spacing w:before="100" w:beforeAutospacing="1" w:after="100" w:afterAutospacing="1"/>
      <w:jc w:val="left"/>
      <w:outlineLvl w:val="1"/>
    </w:pPr>
    <w:rPr>
      <w:rFonts w:ascii="宋体" w:hAnsi="宋体"/>
      <w:b/>
      <w:bCs/>
      <w:color w:val="000000"/>
      <w:kern w:val="0"/>
      <w:sz w:val="36"/>
      <w:szCs w:val="36"/>
    </w:rPr>
  </w:style>
  <w:style w:type="paragraph" w:styleId="3">
    <w:name w:val="heading 3"/>
    <w:basedOn w:val="a0"/>
    <w:next w:val="a0"/>
    <w:link w:val="3Char"/>
    <w:uiPriority w:val="99"/>
    <w:qFormat/>
    <w:rsid w:val="00CD4BF1"/>
    <w:pPr>
      <w:keepNext/>
      <w:keepLines/>
      <w:spacing w:before="260" w:after="260" w:line="416" w:lineRule="auto"/>
      <w:outlineLvl w:val="2"/>
    </w:pPr>
    <w:rPr>
      <w:b/>
      <w:bCs/>
      <w:sz w:val="32"/>
      <w:szCs w:val="32"/>
    </w:rPr>
  </w:style>
  <w:style w:type="paragraph" w:styleId="5">
    <w:name w:val="heading 5"/>
    <w:basedOn w:val="a0"/>
    <w:link w:val="5Char"/>
    <w:uiPriority w:val="9"/>
    <w:qFormat/>
    <w:locked/>
    <w:rsid w:val="00A60249"/>
    <w:pPr>
      <w:widowControl/>
      <w:spacing w:after="180" w:line="465" w:lineRule="atLeast"/>
      <w:ind w:left="390"/>
      <w:jc w:val="left"/>
      <w:outlineLvl w:val="4"/>
    </w:pPr>
    <w:rPr>
      <w:rFonts w:ascii="宋体" w:hAnsi="宋体"/>
      <w:b/>
      <w:bCs/>
      <w:color w:val="00000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C47E4"/>
    <w:rPr>
      <w:rFonts w:ascii="Times New Roman" w:hAnsi="Times New Roman"/>
      <w:b/>
      <w:bCs/>
      <w:kern w:val="44"/>
      <w:sz w:val="44"/>
      <w:szCs w:val="44"/>
    </w:rPr>
  </w:style>
  <w:style w:type="character" w:customStyle="1" w:styleId="2Char">
    <w:name w:val="标题 2 Char"/>
    <w:basedOn w:val="a1"/>
    <w:link w:val="2"/>
    <w:rsid w:val="00A60249"/>
    <w:rPr>
      <w:rFonts w:ascii="宋体" w:hAnsi="宋体"/>
      <w:b/>
      <w:bCs/>
      <w:color w:val="000000"/>
      <w:kern w:val="0"/>
      <w:sz w:val="36"/>
      <w:szCs w:val="36"/>
    </w:rPr>
  </w:style>
  <w:style w:type="character" w:customStyle="1" w:styleId="3Char">
    <w:name w:val="标题 3 Char"/>
    <w:basedOn w:val="a1"/>
    <w:link w:val="3"/>
    <w:uiPriority w:val="99"/>
    <w:locked/>
    <w:rsid w:val="00CD4BF1"/>
    <w:rPr>
      <w:rFonts w:ascii="Times New Roman" w:eastAsia="宋体" w:hAnsi="Times New Roman" w:cs="Times New Roman"/>
      <w:b/>
      <w:bCs/>
      <w:sz w:val="32"/>
      <w:szCs w:val="32"/>
    </w:rPr>
  </w:style>
  <w:style w:type="character" w:customStyle="1" w:styleId="5Char">
    <w:name w:val="标题 5 Char"/>
    <w:basedOn w:val="a1"/>
    <w:link w:val="5"/>
    <w:uiPriority w:val="9"/>
    <w:rsid w:val="00A60249"/>
    <w:rPr>
      <w:rFonts w:ascii="宋体" w:hAnsi="宋体"/>
      <w:b/>
      <w:bCs/>
      <w:color w:val="000000"/>
      <w:kern w:val="0"/>
      <w:sz w:val="20"/>
      <w:szCs w:val="20"/>
    </w:rPr>
  </w:style>
  <w:style w:type="table" w:styleId="a4">
    <w:name w:val="Table Grid"/>
    <w:basedOn w:val="a2"/>
    <w:uiPriority w:val="39"/>
    <w:qFormat/>
    <w:rsid w:val="00492A0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Char"/>
    <w:qFormat/>
    <w:rsid w:val="00747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qFormat/>
    <w:locked/>
    <w:rsid w:val="00747C1F"/>
    <w:rPr>
      <w:rFonts w:ascii="Times New Roman" w:eastAsia="宋体" w:hAnsi="Times New Roman" w:cs="Times New Roman"/>
      <w:sz w:val="18"/>
      <w:szCs w:val="18"/>
    </w:rPr>
  </w:style>
  <w:style w:type="paragraph" w:styleId="a6">
    <w:name w:val="footer"/>
    <w:basedOn w:val="a0"/>
    <w:link w:val="Char0"/>
    <w:uiPriority w:val="99"/>
    <w:qFormat/>
    <w:rsid w:val="00747C1F"/>
    <w:pPr>
      <w:tabs>
        <w:tab w:val="center" w:pos="4153"/>
        <w:tab w:val="right" w:pos="8306"/>
      </w:tabs>
      <w:snapToGrid w:val="0"/>
      <w:jc w:val="left"/>
    </w:pPr>
    <w:rPr>
      <w:sz w:val="18"/>
      <w:szCs w:val="18"/>
    </w:rPr>
  </w:style>
  <w:style w:type="character" w:customStyle="1" w:styleId="Char0">
    <w:name w:val="页脚 Char"/>
    <w:basedOn w:val="a1"/>
    <w:link w:val="a6"/>
    <w:uiPriority w:val="99"/>
    <w:qFormat/>
    <w:locked/>
    <w:rsid w:val="00747C1F"/>
    <w:rPr>
      <w:rFonts w:ascii="Times New Roman" w:eastAsia="宋体" w:hAnsi="Times New Roman" w:cs="Times New Roman"/>
      <w:sz w:val="18"/>
      <w:szCs w:val="18"/>
    </w:rPr>
  </w:style>
  <w:style w:type="character" w:styleId="a7">
    <w:name w:val="Hyperlink"/>
    <w:basedOn w:val="a1"/>
    <w:uiPriority w:val="99"/>
    <w:rsid w:val="00CA6AB9"/>
    <w:rPr>
      <w:rFonts w:cs="Times New Roman"/>
      <w:color w:val="0000FF"/>
      <w:u w:val="single"/>
    </w:rPr>
  </w:style>
  <w:style w:type="character" w:styleId="a8">
    <w:name w:val="page number"/>
    <w:basedOn w:val="a1"/>
    <w:rsid w:val="00E749BD"/>
    <w:rPr>
      <w:rFonts w:cs="Times New Roman"/>
    </w:rPr>
  </w:style>
  <w:style w:type="character" w:customStyle="1" w:styleId="15">
    <w:name w:val="15"/>
    <w:rsid w:val="00A60249"/>
    <w:rPr>
      <w:rFonts w:ascii="Times New Roman" w:hAnsi="Times New Roman" w:cs="Times New Roman" w:hint="default"/>
      <w:color w:val="0000FF"/>
      <w:u w:val="single"/>
    </w:rPr>
  </w:style>
  <w:style w:type="character" w:customStyle="1" w:styleId="Char1">
    <w:name w:val="纯文本 Char"/>
    <w:link w:val="a9"/>
    <w:qFormat/>
    <w:rsid w:val="00A60249"/>
    <w:rPr>
      <w:rFonts w:ascii="宋体" w:hAnsi="宋体" w:cs="宋体"/>
      <w:sz w:val="24"/>
      <w:szCs w:val="24"/>
    </w:rPr>
  </w:style>
  <w:style w:type="paragraph" w:styleId="a9">
    <w:name w:val="Plain Text"/>
    <w:basedOn w:val="a0"/>
    <w:link w:val="Char1"/>
    <w:qFormat/>
    <w:rsid w:val="00A60249"/>
    <w:pPr>
      <w:widowControl/>
      <w:spacing w:before="100" w:beforeAutospacing="1" w:after="100" w:afterAutospacing="1"/>
      <w:jc w:val="left"/>
    </w:pPr>
    <w:rPr>
      <w:rFonts w:ascii="宋体" w:hAnsi="宋体" w:cs="宋体"/>
      <w:sz w:val="24"/>
    </w:rPr>
  </w:style>
  <w:style w:type="paragraph" w:customStyle="1" w:styleId="aa">
    <w:uiPriority w:val="99"/>
    <w:unhideWhenUsed/>
    <w:rsid w:val="00A60249"/>
    <w:pPr>
      <w:widowControl w:val="0"/>
      <w:jc w:val="both"/>
    </w:pPr>
    <w:rPr>
      <w:rFonts w:ascii="Times New Roman" w:hAnsi="Times New Roman"/>
      <w:szCs w:val="24"/>
    </w:rPr>
  </w:style>
  <w:style w:type="character" w:styleId="ab">
    <w:name w:val="annotation reference"/>
    <w:rsid w:val="00A60249"/>
    <w:rPr>
      <w:sz w:val="21"/>
      <w:szCs w:val="21"/>
    </w:rPr>
  </w:style>
  <w:style w:type="character" w:customStyle="1" w:styleId="10">
    <w:name w:val="10"/>
    <w:rsid w:val="00A60249"/>
    <w:rPr>
      <w:rFonts w:ascii="Times New Roman" w:hAnsi="Times New Roman" w:cs="Times New Roman" w:hint="default"/>
    </w:rPr>
  </w:style>
  <w:style w:type="character" w:customStyle="1" w:styleId="Char2">
    <w:name w:val="日期 Char"/>
    <w:link w:val="ac"/>
    <w:uiPriority w:val="99"/>
    <w:rsid w:val="00A60249"/>
    <w:rPr>
      <w:rFonts w:ascii="宋体" w:hAnsi="Times New Roman"/>
      <w:szCs w:val="24"/>
    </w:rPr>
  </w:style>
  <w:style w:type="paragraph" w:styleId="ac">
    <w:name w:val="Date"/>
    <w:basedOn w:val="a0"/>
    <w:next w:val="a0"/>
    <w:link w:val="Char2"/>
    <w:uiPriority w:val="99"/>
    <w:rsid w:val="00A60249"/>
    <w:pPr>
      <w:ind w:leftChars="2500" w:left="100"/>
    </w:pPr>
    <w:rPr>
      <w:rFonts w:ascii="宋体"/>
    </w:rPr>
  </w:style>
  <w:style w:type="character" w:customStyle="1" w:styleId="ksfindclassselect1">
    <w:name w:val="ksfind_class_select1"/>
    <w:rsid w:val="00A60249"/>
    <w:rPr>
      <w:color w:val="000000"/>
      <w:shd w:val="clear" w:color="auto" w:fill="EFD200"/>
    </w:rPr>
  </w:style>
  <w:style w:type="character" w:customStyle="1" w:styleId="Char3">
    <w:name w:val="批注框文本 Char"/>
    <w:link w:val="ad"/>
    <w:uiPriority w:val="99"/>
    <w:rsid w:val="00A60249"/>
    <w:rPr>
      <w:rFonts w:ascii="Times New Roman" w:hAnsi="Times New Roman"/>
      <w:sz w:val="18"/>
      <w:szCs w:val="18"/>
    </w:rPr>
  </w:style>
  <w:style w:type="paragraph" w:styleId="ad">
    <w:name w:val="Balloon Text"/>
    <w:basedOn w:val="a0"/>
    <w:link w:val="Char3"/>
    <w:uiPriority w:val="99"/>
    <w:rsid w:val="00A60249"/>
    <w:rPr>
      <w:sz w:val="18"/>
      <w:szCs w:val="18"/>
    </w:rPr>
  </w:style>
  <w:style w:type="character" w:customStyle="1" w:styleId="Char4">
    <w:name w:val="批注文字 Char"/>
    <w:rsid w:val="00A60249"/>
    <w:rPr>
      <w:rFonts w:ascii="Times New Roman" w:hAnsi="Times New Roman"/>
      <w:kern w:val="2"/>
      <w:sz w:val="21"/>
      <w:szCs w:val="24"/>
    </w:rPr>
  </w:style>
  <w:style w:type="character" w:customStyle="1" w:styleId="2Char0">
    <w:name w:val="正文首行缩进 2 Char"/>
    <w:link w:val="20"/>
    <w:rsid w:val="00A60249"/>
    <w:rPr>
      <w:rFonts w:ascii="宋体" w:hAnsi="Times New Roman"/>
    </w:rPr>
  </w:style>
  <w:style w:type="paragraph" w:styleId="20">
    <w:name w:val="Body Text First Indent 2"/>
    <w:basedOn w:val="ae"/>
    <w:link w:val="2Char0"/>
    <w:rsid w:val="00A60249"/>
    <w:pPr>
      <w:ind w:firstLineChars="200" w:firstLine="420"/>
    </w:pPr>
    <w:rPr>
      <w:rFonts w:ascii="宋体"/>
      <w:szCs w:val="22"/>
    </w:rPr>
  </w:style>
  <w:style w:type="paragraph" w:styleId="ae">
    <w:name w:val="Body Text Indent"/>
    <w:basedOn w:val="a0"/>
    <w:link w:val="Char10"/>
    <w:unhideWhenUsed/>
    <w:rsid w:val="00A60249"/>
    <w:pPr>
      <w:spacing w:after="120"/>
      <w:ind w:leftChars="200" w:left="420"/>
    </w:pPr>
  </w:style>
  <w:style w:type="character" w:customStyle="1" w:styleId="Char10">
    <w:name w:val="正文文本缩进 Char1"/>
    <w:basedOn w:val="a1"/>
    <w:link w:val="ae"/>
    <w:uiPriority w:val="99"/>
    <w:semiHidden/>
    <w:rsid w:val="00A60249"/>
    <w:rPr>
      <w:rFonts w:ascii="Times New Roman" w:hAnsi="Times New Roman"/>
      <w:szCs w:val="24"/>
    </w:rPr>
  </w:style>
  <w:style w:type="character" w:customStyle="1" w:styleId="Char5">
    <w:name w:val="无间隔 Char"/>
    <w:link w:val="af"/>
    <w:uiPriority w:val="99"/>
    <w:rsid w:val="00A60249"/>
    <w:rPr>
      <w:sz w:val="22"/>
    </w:rPr>
  </w:style>
  <w:style w:type="paragraph" w:styleId="af">
    <w:name w:val="No Spacing"/>
    <w:link w:val="Char5"/>
    <w:uiPriority w:val="99"/>
    <w:qFormat/>
    <w:rsid w:val="00A60249"/>
    <w:rPr>
      <w:sz w:val="22"/>
    </w:rPr>
  </w:style>
  <w:style w:type="character" w:customStyle="1" w:styleId="2Char1">
    <w:name w:val="正文文本缩进 2 Char"/>
    <w:link w:val="21"/>
    <w:rsid w:val="00A60249"/>
    <w:rPr>
      <w:rFonts w:ascii="Times New Roman" w:eastAsia="仿宋_GB2312" w:hAnsi="Times New Roman"/>
      <w:sz w:val="32"/>
    </w:rPr>
  </w:style>
  <w:style w:type="paragraph" w:styleId="21">
    <w:name w:val="Body Text Indent 2"/>
    <w:basedOn w:val="a0"/>
    <w:link w:val="2Char1"/>
    <w:rsid w:val="00A60249"/>
    <w:pPr>
      <w:spacing w:after="120" w:line="480" w:lineRule="auto"/>
      <w:ind w:leftChars="200" w:left="420"/>
    </w:pPr>
    <w:rPr>
      <w:rFonts w:eastAsia="仿宋_GB2312"/>
      <w:sz w:val="32"/>
      <w:szCs w:val="22"/>
    </w:rPr>
  </w:style>
  <w:style w:type="character" w:customStyle="1" w:styleId="Char6">
    <w:name w:val="正文文本缩进 Char"/>
    <w:rsid w:val="00A60249"/>
    <w:rPr>
      <w:rFonts w:ascii="宋体" w:hAnsi="Times New Roman"/>
      <w:kern w:val="2"/>
      <w:sz w:val="21"/>
      <w:szCs w:val="24"/>
    </w:rPr>
  </w:style>
  <w:style w:type="character" w:customStyle="1" w:styleId="Char7">
    <w:name w:val="批注主题 Char"/>
    <w:link w:val="af0"/>
    <w:rsid w:val="00A60249"/>
    <w:rPr>
      <w:rFonts w:ascii="Times New Roman" w:hAnsi="Times New Roman"/>
      <w:b/>
      <w:bCs/>
      <w:szCs w:val="24"/>
    </w:rPr>
  </w:style>
  <w:style w:type="paragraph" w:styleId="af0">
    <w:name w:val="annotation subject"/>
    <w:basedOn w:val="af1"/>
    <w:next w:val="af1"/>
    <w:link w:val="Char7"/>
    <w:rsid w:val="00A60249"/>
    <w:rPr>
      <w:b/>
      <w:bCs/>
    </w:rPr>
  </w:style>
  <w:style w:type="paragraph" w:styleId="af1">
    <w:name w:val="annotation text"/>
    <w:basedOn w:val="a0"/>
    <w:link w:val="Char11"/>
    <w:unhideWhenUsed/>
    <w:rsid w:val="00A60249"/>
    <w:pPr>
      <w:jc w:val="left"/>
    </w:pPr>
  </w:style>
  <w:style w:type="character" w:customStyle="1" w:styleId="Char11">
    <w:name w:val="批注文字 Char1"/>
    <w:basedOn w:val="a1"/>
    <w:link w:val="af1"/>
    <w:uiPriority w:val="99"/>
    <w:semiHidden/>
    <w:rsid w:val="00A60249"/>
    <w:rPr>
      <w:rFonts w:ascii="Times New Roman" w:hAnsi="Times New Roman"/>
      <w:szCs w:val="24"/>
    </w:rPr>
  </w:style>
  <w:style w:type="paragraph" w:styleId="af2">
    <w:name w:val="Revision"/>
    <w:uiPriority w:val="99"/>
    <w:semiHidden/>
    <w:rsid w:val="00A60249"/>
    <w:rPr>
      <w:rFonts w:ascii="Times New Roman" w:hAnsi="Times New Roman"/>
    </w:rPr>
  </w:style>
  <w:style w:type="character" w:customStyle="1" w:styleId="Char12">
    <w:name w:val="批注主题 Char1"/>
    <w:basedOn w:val="Char11"/>
    <w:link w:val="af0"/>
    <w:uiPriority w:val="99"/>
    <w:semiHidden/>
    <w:rsid w:val="00A60249"/>
    <w:rPr>
      <w:b/>
      <w:bCs/>
    </w:rPr>
  </w:style>
  <w:style w:type="character" w:customStyle="1" w:styleId="2Char10">
    <w:name w:val="正文首行缩进 2 Char1"/>
    <w:basedOn w:val="Char10"/>
    <w:link w:val="20"/>
    <w:uiPriority w:val="99"/>
    <w:rsid w:val="00A60249"/>
  </w:style>
  <w:style w:type="paragraph" w:styleId="af3">
    <w:name w:val="Body Text"/>
    <w:basedOn w:val="a0"/>
    <w:link w:val="Char8"/>
    <w:uiPriority w:val="99"/>
    <w:qFormat/>
    <w:rsid w:val="00A60249"/>
    <w:rPr>
      <w:rFonts w:ascii="宋体" w:hAnsi="宋体" w:cs="宋体"/>
      <w:szCs w:val="21"/>
      <w:lang w:val="zh-CN" w:bidi="zh-CN"/>
    </w:rPr>
  </w:style>
  <w:style w:type="character" w:customStyle="1" w:styleId="Char8">
    <w:name w:val="正文文本 Char"/>
    <w:basedOn w:val="a1"/>
    <w:link w:val="af3"/>
    <w:qFormat/>
    <w:rsid w:val="00A60249"/>
    <w:rPr>
      <w:rFonts w:ascii="宋体" w:hAnsi="宋体" w:cs="宋体"/>
      <w:szCs w:val="21"/>
      <w:lang w:val="zh-CN" w:bidi="zh-CN"/>
    </w:rPr>
  </w:style>
  <w:style w:type="character" w:customStyle="1" w:styleId="Char13">
    <w:name w:val="日期 Char1"/>
    <w:basedOn w:val="a1"/>
    <w:link w:val="ac"/>
    <w:uiPriority w:val="99"/>
    <w:semiHidden/>
    <w:rsid w:val="00A60249"/>
    <w:rPr>
      <w:rFonts w:ascii="Times New Roman" w:hAnsi="Times New Roman"/>
      <w:szCs w:val="24"/>
    </w:rPr>
  </w:style>
  <w:style w:type="character" w:customStyle="1" w:styleId="Char14">
    <w:name w:val="纯文本 Char1"/>
    <w:basedOn w:val="a1"/>
    <w:link w:val="a9"/>
    <w:uiPriority w:val="99"/>
    <w:semiHidden/>
    <w:rsid w:val="00A60249"/>
    <w:rPr>
      <w:rFonts w:ascii="宋体" w:hAnsi="Courier New" w:cs="Courier New"/>
      <w:szCs w:val="21"/>
    </w:rPr>
  </w:style>
  <w:style w:type="character" w:customStyle="1" w:styleId="Char15">
    <w:name w:val="批注框文本 Char1"/>
    <w:basedOn w:val="a1"/>
    <w:link w:val="ad"/>
    <w:uiPriority w:val="99"/>
    <w:semiHidden/>
    <w:rsid w:val="00A60249"/>
    <w:rPr>
      <w:rFonts w:ascii="Times New Roman" w:hAnsi="Times New Roman"/>
      <w:sz w:val="18"/>
      <w:szCs w:val="18"/>
    </w:rPr>
  </w:style>
  <w:style w:type="character" w:customStyle="1" w:styleId="2Char11">
    <w:name w:val="正文文本缩进 2 Char1"/>
    <w:basedOn w:val="a1"/>
    <w:link w:val="21"/>
    <w:uiPriority w:val="99"/>
    <w:semiHidden/>
    <w:rsid w:val="00A60249"/>
    <w:rPr>
      <w:rFonts w:ascii="Times New Roman" w:hAnsi="Times New Roman"/>
      <w:szCs w:val="24"/>
    </w:rPr>
  </w:style>
  <w:style w:type="paragraph" w:styleId="af4">
    <w:name w:val="Title"/>
    <w:basedOn w:val="a0"/>
    <w:next w:val="a0"/>
    <w:link w:val="Char9"/>
    <w:qFormat/>
    <w:locked/>
    <w:rsid w:val="00A60249"/>
    <w:pPr>
      <w:spacing w:before="240" w:after="60"/>
      <w:jc w:val="center"/>
      <w:outlineLvl w:val="0"/>
    </w:pPr>
    <w:rPr>
      <w:rFonts w:ascii="Cambria" w:hAnsi="Cambria"/>
      <w:b/>
      <w:bCs/>
      <w:sz w:val="32"/>
      <w:szCs w:val="32"/>
    </w:rPr>
  </w:style>
  <w:style w:type="character" w:customStyle="1" w:styleId="Char9">
    <w:name w:val="标题 Char"/>
    <w:basedOn w:val="a1"/>
    <w:link w:val="af4"/>
    <w:qFormat/>
    <w:rsid w:val="00A60249"/>
    <w:rPr>
      <w:rFonts w:ascii="Cambria" w:hAnsi="Cambria"/>
      <w:b/>
      <w:bCs/>
      <w:sz w:val="32"/>
      <w:szCs w:val="32"/>
    </w:rPr>
  </w:style>
  <w:style w:type="paragraph" w:styleId="af5">
    <w:name w:val="Normal (Web)"/>
    <w:basedOn w:val="a0"/>
    <w:uiPriority w:val="99"/>
    <w:unhideWhenUsed/>
    <w:qFormat/>
    <w:rsid w:val="00A60249"/>
    <w:pPr>
      <w:widowControl/>
      <w:spacing w:before="100" w:beforeAutospacing="1" w:after="100" w:afterAutospacing="1"/>
      <w:jc w:val="left"/>
    </w:pPr>
    <w:rPr>
      <w:rFonts w:ascii="宋体" w:hAnsi="宋体" w:cs="宋体"/>
      <w:color w:val="000000"/>
      <w:kern w:val="0"/>
      <w:sz w:val="24"/>
    </w:rPr>
  </w:style>
  <w:style w:type="paragraph" w:customStyle="1" w:styleId="Chara">
    <w:name w:val="Char"/>
    <w:basedOn w:val="a0"/>
    <w:rsid w:val="00A60249"/>
    <w:rPr>
      <w:rFonts w:ascii="Tahoma" w:hAnsi="Tahoma"/>
      <w:sz w:val="24"/>
    </w:rPr>
  </w:style>
  <w:style w:type="paragraph" w:styleId="af6">
    <w:name w:val="List Paragraph"/>
    <w:basedOn w:val="a0"/>
    <w:uiPriority w:val="99"/>
    <w:qFormat/>
    <w:rsid w:val="00A60249"/>
    <w:pPr>
      <w:ind w:firstLineChars="200" w:firstLine="420"/>
    </w:pPr>
    <w:rPr>
      <w:szCs w:val="22"/>
    </w:rPr>
  </w:style>
  <w:style w:type="paragraph" w:customStyle="1" w:styleId="CharCharCharChar">
    <w:name w:val="Char Char Char Char"/>
    <w:basedOn w:val="a0"/>
    <w:rsid w:val="00A60249"/>
    <w:rPr>
      <w:rFonts w:ascii="Tahoma" w:hAnsi="Tahoma"/>
      <w:sz w:val="24"/>
    </w:rPr>
  </w:style>
  <w:style w:type="paragraph" w:customStyle="1" w:styleId="CM255">
    <w:name w:val="CM255"/>
    <w:basedOn w:val="Default"/>
    <w:next w:val="Default"/>
    <w:uiPriority w:val="99"/>
    <w:rsid w:val="00A60249"/>
    <w:rPr>
      <w:rFonts w:cs="Times New Roman"/>
      <w:color w:val="auto"/>
    </w:rPr>
  </w:style>
  <w:style w:type="paragraph" w:customStyle="1" w:styleId="Default">
    <w:name w:val="Default"/>
    <w:qFormat/>
    <w:rsid w:val="00A60249"/>
    <w:pPr>
      <w:widowControl w:val="0"/>
      <w:autoSpaceDE w:val="0"/>
      <w:autoSpaceDN w:val="0"/>
      <w:adjustRightInd w:val="0"/>
    </w:pPr>
    <w:rPr>
      <w:rFonts w:ascii="黑体" w:eastAsia="黑体" w:hAnsi="Times New Roman" w:cs="黑体"/>
      <w:color w:val="000000"/>
      <w:kern w:val="0"/>
      <w:sz w:val="24"/>
      <w:szCs w:val="24"/>
    </w:rPr>
  </w:style>
  <w:style w:type="paragraph" w:customStyle="1" w:styleId="CharCharCharCharCharCharChar">
    <w:name w:val="Char Char Char Char Char Char Char"/>
    <w:basedOn w:val="a0"/>
    <w:rsid w:val="00A60249"/>
    <w:rPr>
      <w:szCs w:val="20"/>
    </w:rPr>
  </w:style>
  <w:style w:type="paragraph" w:customStyle="1" w:styleId="Charb">
    <w:name w:val="Char"/>
    <w:basedOn w:val="a0"/>
    <w:rsid w:val="00A60249"/>
    <w:rPr>
      <w:rFonts w:ascii="Tahoma" w:hAnsi="Tahoma"/>
      <w:sz w:val="24"/>
    </w:rPr>
  </w:style>
  <w:style w:type="paragraph" w:customStyle="1" w:styleId="CM238">
    <w:name w:val="CM238"/>
    <w:basedOn w:val="Default"/>
    <w:next w:val="Default"/>
    <w:uiPriority w:val="99"/>
    <w:rsid w:val="00A60249"/>
    <w:rPr>
      <w:rFonts w:cs="Times New Roman"/>
      <w:color w:val="auto"/>
    </w:rPr>
  </w:style>
  <w:style w:type="paragraph" w:customStyle="1" w:styleId="af7">
    <w:name w:val="附注二级"/>
    <w:basedOn w:val="a0"/>
    <w:rsid w:val="00A60249"/>
    <w:pPr>
      <w:tabs>
        <w:tab w:val="left" w:pos="714"/>
      </w:tabs>
      <w:adjustRightInd w:val="0"/>
      <w:snapToGrid w:val="0"/>
      <w:spacing w:line="400" w:lineRule="atLeast"/>
      <w:ind w:left="756" w:hanging="770"/>
      <w:outlineLvl w:val="0"/>
    </w:pPr>
    <w:rPr>
      <w:rFonts w:ascii="宋体" w:hAnsi="宋体"/>
      <w:b/>
      <w:szCs w:val="21"/>
    </w:rPr>
  </w:style>
  <w:style w:type="table" w:customStyle="1" w:styleId="af8">
    <w:name w:val="附注表格"/>
    <w:basedOn w:val="a2"/>
    <w:uiPriority w:val="99"/>
    <w:qFormat/>
    <w:rsid w:val="00A60249"/>
    <w:pPr>
      <w:jc w:val="center"/>
    </w:pPr>
    <w:rPr>
      <w:rFonts w:ascii="Times New Roman" w:hAnsi="Times New Roman"/>
      <w:kern w:val="0"/>
      <w:szCs w:val="20"/>
    </w:rPr>
    <w:tblPr>
      <w:tblInd w:w="0" w:type="dxa"/>
      <w:tblBorders>
        <w:top w:val="dotted" w:sz="4" w:space="0" w:color="auto"/>
        <w:bottom w:val="dotted" w:sz="4" w:space="0" w:color="auto"/>
        <w:insideH w:val="dotted" w:sz="4" w:space="0" w:color="auto"/>
        <w:insideV w:val="dotted" w:sz="4" w:space="0" w:color="auto"/>
      </w:tblBorders>
      <w:tblCellMar>
        <w:top w:w="0" w:type="dxa"/>
        <w:left w:w="108" w:type="dxa"/>
        <w:bottom w:w="0" w:type="dxa"/>
        <w:right w:w="108" w:type="dxa"/>
      </w:tblCellMar>
    </w:tblPr>
    <w:tcPr>
      <w:vAlign w:val="center"/>
    </w:tcPr>
  </w:style>
  <w:style w:type="table" w:customStyle="1" w:styleId="11">
    <w:name w:val="样式1"/>
    <w:basedOn w:val="a4"/>
    <w:uiPriority w:val="99"/>
    <w:rsid w:val="00A60249"/>
    <w:pPr>
      <w:widowControl/>
      <w:jc w:val="both"/>
    </w:pPr>
    <w:rPr>
      <w:sz w:val="21"/>
    </w:rPr>
    <w:tblPr>
      <w:tblInd w:w="0" w:type="dxa"/>
      <w:tblBorders>
        <w:top w:val="dotted" w:sz="4" w:space="0" w:color="auto"/>
        <w:bottom w:val="dotted" w:sz="4" w:space="0" w:color="auto"/>
        <w:insideH w:val="dotted" w:sz="4" w:space="0" w:color="auto"/>
        <w:insideV w:val="dotted" w:sz="4" w:space="0" w:color="auto"/>
      </w:tblBorders>
      <w:tblCellMar>
        <w:top w:w="0" w:type="dxa"/>
        <w:left w:w="108" w:type="dxa"/>
        <w:bottom w:w="0" w:type="dxa"/>
        <w:right w:w="108" w:type="dxa"/>
      </w:tblCellMar>
    </w:tblPr>
    <w:tcPr>
      <w:vAlign w:val="center"/>
    </w:tcPr>
  </w:style>
  <w:style w:type="character" w:styleId="af9">
    <w:name w:val="FollowedHyperlink"/>
    <w:basedOn w:val="a1"/>
    <w:uiPriority w:val="99"/>
    <w:unhideWhenUsed/>
    <w:rsid w:val="00A60249"/>
    <w:rPr>
      <w:color w:val="800080" w:themeColor="followedHyperlink"/>
      <w:u w:val="single"/>
    </w:rPr>
  </w:style>
  <w:style w:type="character" w:customStyle="1" w:styleId="Bodytext1">
    <w:name w:val="Body text|1_"/>
    <w:basedOn w:val="a1"/>
    <w:link w:val="Bodytext10"/>
    <w:qFormat/>
    <w:rsid w:val="009973DD"/>
    <w:rPr>
      <w:rFonts w:ascii="宋体" w:hAnsi="宋体" w:cs="宋体"/>
      <w:sz w:val="20"/>
      <w:szCs w:val="20"/>
      <w:lang w:val="zh-TW" w:eastAsia="zh-TW" w:bidi="zh-TW"/>
    </w:rPr>
  </w:style>
  <w:style w:type="paragraph" w:customStyle="1" w:styleId="Bodytext10">
    <w:name w:val="Body text|1"/>
    <w:basedOn w:val="a0"/>
    <w:link w:val="Bodytext1"/>
    <w:qFormat/>
    <w:rsid w:val="009973DD"/>
    <w:pPr>
      <w:spacing w:line="432" w:lineRule="auto"/>
      <w:ind w:firstLine="400"/>
      <w:jc w:val="left"/>
    </w:pPr>
    <w:rPr>
      <w:rFonts w:ascii="宋体" w:hAnsi="宋体" w:cs="宋体"/>
      <w:sz w:val="20"/>
      <w:szCs w:val="20"/>
      <w:lang w:val="zh-TW" w:eastAsia="zh-TW" w:bidi="zh-TW"/>
    </w:rPr>
  </w:style>
  <w:style w:type="character" w:customStyle="1" w:styleId="Heading11">
    <w:name w:val="Heading #1|1_"/>
    <w:basedOn w:val="a1"/>
    <w:link w:val="Heading110"/>
    <w:qFormat/>
    <w:rsid w:val="009973DD"/>
    <w:rPr>
      <w:rFonts w:ascii="宋体" w:hAnsi="宋体" w:cs="宋体"/>
      <w:sz w:val="44"/>
      <w:szCs w:val="44"/>
      <w:lang w:val="zh-TW" w:eastAsia="zh-TW" w:bidi="zh-TW"/>
    </w:rPr>
  </w:style>
  <w:style w:type="paragraph" w:customStyle="1" w:styleId="Heading110">
    <w:name w:val="Heading #1|1"/>
    <w:basedOn w:val="a0"/>
    <w:link w:val="Heading11"/>
    <w:qFormat/>
    <w:rsid w:val="009973DD"/>
    <w:pPr>
      <w:spacing w:after="60"/>
      <w:ind w:firstLine="300"/>
      <w:jc w:val="left"/>
      <w:outlineLvl w:val="0"/>
    </w:pPr>
    <w:rPr>
      <w:rFonts w:ascii="宋体" w:hAnsi="宋体" w:cs="宋体"/>
      <w:sz w:val="44"/>
      <w:szCs w:val="44"/>
      <w:lang w:val="zh-TW" w:eastAsia="zh-TW" w:bidi="zh-TW"/>
    </w:rPr>
  </w:style>
  <w:style w:type="character" w:customStyle="1" w:styleId="Headerorfooter2">
    <w:name w:val="Header or footer|2_"/>
    <w:basedOn w:val="a1"/>
    <w:link w:val="Headerorfooter20"/>
    <w:qFormat/>
    <w:rsid w:val="009973DD"/>
    <w:rPr>
      <w:sz w:val="20"/>
      <w:szCs w:val="20"/>
      <w:lang w:val="zh-TW" w:eastAsia="zh-TW" w:bidi="zh-TW"/>
    </w:rPr>
  </w:style>
  <w:style w:type="paragraph" w:customStyle="1" w:styleId="Headerorfooter20">
    <w:name w:val="Header or footer|2"/>
    <w:basedOn w:val="a0"/>
    <w:link w:val="Headerorfooter2"/>
    <w:qFormat/>
    <w:rsid w:val="009973DD"/>
    <w:pPr>
      <w:jc w:val="left"/>
    </w:pPr>
    <w:rPr>
      <w:rFonts w:ascii="Calibri" w:hAnsi="Calibri"/>
      <w:sz w:val="20"/>
      <w:szCs w:val="20"/>
      <w:lang w:val="zh-TW" w:eastAsia="zh-TW" w:bidi="zh-TW"/>
    </w:rPr>
  </w:style>
  <w:style w:type="character" w:customStyle="1" w:styleId="Other1">
    <w:name w:val="Other|1_"/>
    <w:basedOn w:val="a1"/>
    <w:link w:val="Other10"/>
    <w:qFormat/>
    <w:rsid w:val="009973DD"/>
    <w:rPr>
      <w:rFonts w:ascii="宋体" w:hAnsi="宋体" w:cs="宋体"/>
      <w:sz w:val="20"/>
      <w:szCs w:val="20"/>
      <w:lang w:val="zh-TW" w:eastAsia="zh-TW" w:bidi="zh-TW"/>
    </w:rPr>
  </w:style>
  <w:style w:type="paragraph" w:customStyle="1" w:styleId="Other10">
    <w:name w:val="Other|1"/>
    <w:basedOn w:val="a0"/>
    <w:link w:val="Other1"/>
    <w:qFormat/>
    <w:rsid w:val="009973DD"/>
    <w:pPr>
      <w:spacing w:line="432" w:lineRule="auto"/>
      <w:ind w:firstLine="400"/>
      <w:jc w:val="left"/>
    </w:pPr>
    <w:rPr>
      <w:rFonts w:ascii="宋体" w:hAnsi="宋体" w:cs="宋体"/>
      <w:sz w:val="20"/>
      <w:szCs w:val="20"/>
      <w:lang w:val="zh-TW" w:eastAsia="zh-TW" w:bidi="zh-TW"/>
    </w:rPr>
  </w:style>
  <w:style w:type="character" w:customStyle="1" w:styleId="Heading21">
    <w:name w:val="Heading #2|1_"/>
    <w:basedOn w:val="a1"/>
    <w:link w:val="Heading210"/>
    <w:qFormat/>
    <w:rsid w:val="009973DD"/>
    <w:rPr>
      <w:rFonts w:ascii="宋体" w:hAnsi="宋体" w:cs="宋体"/>
      <w:sz w:val="34"/>
      <w:szCs w:val="34"/>
      <w:lang w:val="zh-TW" w:eastAsia="zh-TW" w:bidi="zh-TW"/>
    </w:rPr>
  </w:style>
  <w:style w:type="paragraph" w:customStyle="1" w:styleId="Heading210">
    <w:name w:val="Heading #2|1"/>
    <w:basedOn w:val="a0"/>
    <w:link w:val="Heading21"/>
    <w:qFormat/>
    <w:rsid w:val="009973DD"/>
    <w:pPr>
      <w:spacing w:after="210"/>
      <w:jc w:val="center"/>
      <w:outlineLvl w:val="1"/>
    </w:pPr>
    <w:rPr>
      <w:rFonts w:ascii="宋体" w:hAnsi="宋体" w:cs="宋体"/>
      <w:sz w:val="34"/>
      <w:szCs w:val="34"/>
      <w:lang w:val="zh-TW" w:eastAsia="zh-TW" w:bidi="zh-TW"/>
    </w:rPr>
  </w:style>
  <w:style w:type="character" w:customStyle="1" w:styleId="Tableofcontents1">
    <w:name w:val="Table of contents|1_"/>
    <w:basedOn w:val="a1"/>
    <w:link w:val="Tableofcontents10"/>
    <w:qFormat/>
    <w:rsid w:val="009973DD"/>
    <w:rPr>
      <w:rFonts w:ascii="宋体" w:hAnsi="宋体" w:cs="宋体"/>
      <w:sz w:val="22"/>
      <w:lang w:val="zh-TW" w:eastAsia="zh-TW" w:bidi="zh-TW"/>
    </w:rPr>
  </w:style>
  <w:style w:type="paragraph" w:customStyle="1" w:styleId="Tableofcontents10">
    <w:name w:val="Table of contents|1"/>
    <w:basedOn w:val="a0"/>
    <w:link w:val="Tableofcontents1"/>
    <w:qFormat/>
    <w:rsid w:val="009973DD"/>
    <w:pPr>
      <w:spacing w:after="320"/>
      <w:ind w:firstLine="540"/>
      <w:jc w:val="left"/>
    </w:pPr>
    <w:rPr>
      <w:rFonts w:ascii="宋体" w:hAnsi="宋体" w:cs="宋体"/>
      <w:sz w:val="22"/>
      <w:szCs w:val="22"/>
      <w:lang w:val="zh-TW" w:eastAsia="zh-TW" w:bidi="zh-TW"/>
    </w:rPr>
  </w:style>
  <w:style w:type="character" w:customStyle="1" w:styleId="Tablecaption1">
    <w:name w:val="Table caption|1_"/>
    <w:basedOn w:val="a1"/>
    <w:link w:val="Tablecaption10"/>
    <w:qFormat/>
    <w:rsid w:val="009973DD"/>
    <w:rPr>
      <w:rFonts w:ascii="宋体" w:hAnsi="宋体" w:cs="宋体"/>
      <w:sz w:val="18"/>
      <w:szCs w:val="18"/>
      <w:lang w:val="zh-TW" w:eastAsia="zh-TW" w:bidi="zh-TW"/>
    </w:rPr>
  </w:style>
  <w:style w:type="paragraph" w:customStyle="1" w:styleId="Tablecaption10">
    <w:name w:val="Table caption|1"/>
    <w:basedOn w:val="a0"/>
    <w:link w:val="Tablecaption1"/>
    <w:qFormat/>
    <w:rsid w:val="009973DD"/>
    <w:pPr>
      <w:spacing w:line="230" w:lineRule="exact"/>
      <w:jc w:val="left"/>
    </w:pPr>
    <w:rPr>
      <w:rFonts w:ascii="宋体" w:hAnsi="宋体" w:cs="宋体"/>
      <w:sz w:val="18"/>
      <w:szCs w:val="18"/>
      <w:lang w:val="zh-TW" w:eastAsia="zh-TW" w:bidi="zh-TW"/>
    </w:rPr>
  </w:style>
  <w:style w:type="character" w:customStyle="1" w:styleId="Bodytext2">
    <w:name w:val="Body text|2_"/>
    <w:basedOn w:val="a1"/>
    <w:link w:val="Bodytext20"/>
    <w:qFormat/>
    <w:rsid w:val="009973DD"/>
    <w:rPr>
      <w:rFonts w:ascii="宋体" w:hAnsi="宋体" w:cs="宋体"/>
      <w:sz w:val="14"/>
      <w:szCs w:val="14"/>
      <w:lang w:val="zh-TW" w:eastAsia="zh-TW" w:bidi="zh-TW"/>
    </w:rPr>
  </w:style>
  <w:style w:type="paragraph" w:customStyle="1" w:styleId="Bodytext20">
    <w:name w:val="Body text|2"/>
    <w:basedOn w:val="a0"/>
    <w:link w:val="Bodytext2"/>
    <w:qFormat/>
    <w:rsid w:val="009973DD"/>
    <w:pPr>
      <w:jc w:val="left"/>
    </w:pPr>
    <w:rPr>
      <w:rFonts w:ascii="宋体" w:hAnsi="宋体" w:cs="宋体"/>
      <w:sz w:val="14"/>
      <w:szCs w:val="14"/>
      <w:lang w:val="zh-TW" w:eastAsia="zh-TW" w:bidi="zh-TW"/>
    </w:rPr>
  </w:style>
  <w:style w:type="character" w:customStyle="1" w:styleId="Bodytext4">
    <w:name w:val="Body text|4_"/>
    <w:basedOn w:val="a1"/>
    <w:link w:val="Bodytext40"/>
    <w:qFormat/>
    <w:rsid w:val="009973DD"/>
    <w:rPr>
      <w:rFonts w:ascii="宋体" w:hAnsi="宋体" w:cs="宋体"/>
      <w:sz w:val="12"/>
      <w:szCs w:val="12"/>
      <w:lang w:val="zh-TW" w:eastAsia="zh-TW" w:bidi="zh-TW"/>
    </w:rPr>
  </w:style>
  <w:style w:type="paragraph" w:customStyle="1" w:styleId="Bodytext40">
    <w:name w:val="Body text|4"/>
    <w:basedOn w:val="a0"/>
    <w:link w:val="Bodytext4"/>
    <w:qFormat/>
    <w:rsid w:val="009973DD"/>
    <w:pPr>
      <w:jc w:val="left"/>
    </w:pPr>
    <w:rPr>
      <w:rFonts w:ascii="宋体" w:hAnsi="宋体" w:cs="宋体"/>
      <w:sz w:val="12"/>
      <w:szCs w:val="12"/>
      <w:lang w:val="zh-TW" w:eastAsia="zh-TW" w:bidi="zh-TW"/>
    </w:rPr>
  </w:style>
  <w:style w:type="character" w:customStyle="1" w:styleId="Heading31">
    <w:name w:val="Heading #3|1_"/>
    <w:basedOn w:val="a1"/>
    <w:link w:val="Heading310"/>
    <w:qFormat/>
    <w:rsid w:val="009973DD"/>
    <w:rPr>
      <w:rFonts w:ascii="宋体" w:hAnsi="宋体" w:cs="宋体"/>
      <w:b/>
      <w:bCs/>
      <w:sz w:val="20"/>
      <w:szCs w:val="20"/>
      <w:lang w:val="zh-TW" w:eastAsia="zh-TW" w:bidi="zh-TW"/>
    </w:rPr>
  </w:style>
  <w:style w:type="paragraph" w:customStyle="1" w:styleId="Heading310">
    <w:name w:val="Heading #3|1"/>
    <w:basedOn w:val="a0"/>
    <w:link w:val="Heading31"/>
    <w:qFormat/>
    <w:rsid w:val="009973DD"/>
    <w:pPr>
      <w:spacing w:line="411" w:lineRule="exact"/>
      <w:ind w:firstLine="540"/>
      <w:jc w:val="left"/>
      <w:outlineLvl w:val="2"/>
    </w:pPr>
    <w:rPr>
      <w:rFonts w:ascii="宋体" w:hAnsi="宋体" w:cs="宋体"/>
      <w:b/>
      <w:bCs/>
      <w:sz w:val="20"/>
      <w:szCs w:val="20"/>
      <w:lang w:val="zh-TW" w:eastAsia="zh-TW" w:bidi="zh-TW"/>
    </w:rPr>
  </w:style>
  <w:style w:type="character" w:customStyle="1" w:styleId="Picturecaption1">
    <w:name w:val="Picture caption|1_"/>
    <w:basedOn w:val="a1"/>
    <w:link w:val="Picturecaption10"/>
    <w:qFormat/>
    <w:rsid w:val="009973DD"/>
    <w:rPr>
      <w:rFonts w:ascii="宋体" w:hAnsi="宋体" w:cs="宋体"/>
      <w:sz w:val="12"/>
      <w:szCs w:val="12"/>
      <w:lang w:val="zh-TW" w:eastAsia="zh-TW" w:bidi="zh-TW"/>
    </w:rPr>
  </w:style>
  <w:style w:type="paragraph" w:customStyle="1" w:styleId="Picturecaption10">
    <w:name w:val="Picture caption|1"/>
    <w:basedOn w:val="a0"/>
    <w:link w:val="Picturecaption1"/>
    <w:qFormat/>
    <w:rsid w:val="009973DD"/>
    <w:pPr>
      <w:jc w:val="left"/>
    </w:pPr>
    <w:rPr>
      <w:rFonts w:ascii="宋体" w:hAnsi="宋体" w:cs="宋体"/>
      <w:sz w:val="12"/>
      <w:szCs w:val="12"/>
      <w:lang w:val="zh-TW" w:eastAsia="zh-TW" w:bidi="zh-TW"/>
    </w:rPr>
  </w:style>
  <w:style w:type="character" w:customStyle="1" w:styleId="Bodytext3">
    <w:name w:val="Body text|3_"/>
    <w:basedOn w:val="a1"/>
    <w:link w:val="Bodytext30"/>
    <w:qFormat/>
    <w:rsid w:val="009973DD"/>
    <w:rPr>
      <w:rFonts w:ascii="宋体" w:hAnsi="宋体" w:cs="宋体"/>
      <w:sz w:val="18"/>
      <w:szCs w:val="18"/>
      <w:lang w:val="zh-TW" w:eastAsia="zh-TW" w:bidi="zh-TW"/>
    </w:rPr>
  </w:style>
  <w:style w:type="paragraph" w:customStyle="1" w:styleId="Bodytext30">
    <w:name w:val="Body text|3"/>
    <w:basedOn w:val="a0"/>
    <w:link w:val="Bodytext3"/>
    <w:qFormat/>
    <w:rsid w:val="009973DD"/>
    <w:pPr>
      <w:ind w:firstLine="280"/>
      <w:jc w:val="left"/>
    </w:pPr>
    <w:rPr>
      <w:rFonts w:ascii="宋体" w:hAnsi="宋体" w:cs="宋体"/>
      <w:sz w:val="18"/>
      <w:szCs w:val="18"/>
      <w:lang w:val="zh-TW" w:eastAsia="zh-TW" w:bidi="zh-TW"/>
    </w:rPr>
  </w:style>
  <w:style w:type="character" w:customStyle="1" w:styleId="Other2">
    <w:name w:val="Other|2_"/>
    <w:basedOn w:val="a1"/>
    <w:link w:val="Other20"/>
    <w:qFormat/>
    <w:rsid w:val="009973DD"/>
    <w:rPr>
      <w:rFonts w:ascii="宋体" w:hAnsi="宋体" w:cs="宋体"/>
      <w:sz w:val="15"/>
      <w:szCs w:val="15"/>
      <w:lang w:val="zh-TW" w:eastAsia="zh-TW" w:bidi="zh-TW"/>
    </w:rPr>
  </w:style>
  <w:style w:type="paragraph" w:customStyle="1" w:styleId="Other20">
    <w:name w:val="Other|2"/>
    <w:basedOn w:val="a0"/>
    <w:link w:val="Other2"/>
    <w:qFormat/>
    <w:rsid w:val="009973DD"/>
    <w:pPr>
      <w:jc w:val="left"/>
    </w:pPr>
    <w:rPr>
      <w:rFonts w:ascii="宋体" w:hAnsi="宋体" w:cs="宋体"/>
      <w:sz w:val="15"/>
      <w:szCs w:val="15"/>
      <w:shd w:val="clear" w:color="auto" w:fill="FFFFFF"/>
      <w:lang w:val="zh-TW" w:eastAsia="zh-TW" w:bidi="zh-TW"/>
    </w:rPr>
  </w:style>
  <w:style w:type="character" w:customStyle="1" w:styleId="Headerorfooter1">
    <w:name w:val="Header or footer|1_"/>
    <w:basedOn w:val="a1"/>
    <w:link w:val="Headerorfooter10"/>
    <w:qFormat/>
    <w:rsid w:val="009973DD"/>
    <w:rPr>
      <w:rFonts w:ascii="宋体" w:hAnsi="宋体" w:cs="宋体"/>
      <w:sz w:val="18"/>
      <w:szCs w:val="18"/>
      <w:lang w:val="zh-TW" w:eastAsia="zh-TW" w:bidi="zh-TW"/>
    </w:rPr>
  </w:style>
  <w:style w:type="paragraph" w:customStyle="1" w:styleId="Headerorfooter10">
    <w:name w:val="Header or footer|1"/>
    <w:basedOn w:val="a0"/>
    <w:link w:val="Headerorfooter1"/>
    <w:qFormat/>
    <w:rsid w:val="009973DD"/>
    <w:pPr>
      <w:jc w:val="center"/>
    </w:pPr>
    <w:rPr>
      <w:rFonts w:ascii="宋体" w:hAnsi="宋体" w:cs="宋体"/>
      <w:sz w:val="18"/>
      <w:szCs w:val="18"/>
      <w:lang w:val="zh-TW" w:eastAsia="zh-TW" w:bidi="zh-TW"/>
    </w:rPr>
  </w:style>
  <w:style w:type="character" w:customStyle="1" w:styleId="Heading51">
    <w:name w:val="Heading #5|1_"/>
    <w:basedOn w:val="a1"/>
    <w:link w:val="Heading510"/>
    <w:qFormat/>
    <w:rsid w:val="009973DD"/>
    <w:rPr>
      <w:rFonts w:ascii="宋体" w:hAnsi="宋体" w:cs="宋体"/>
      <w:b/>
      <w:bCs/>
      <w:sz w:val="20"/>
      <w:szCs w:val="20"/>
      <w:lang w:val="zh-TW" w:eastAsia="zh-TW" w:bidi="zh-TW"/>
    </w:rPr>
  </w:style>
  <w:style w:type="paragraph" w:customStyle="1" w:styleId="Heading510">
    <w:name w:val="Heading #5|1"/>
    <w:basedOn w:val="a0"/>
    <w:link w:val="Heading51"/>
    <w:qFormat/>
    <w:rsid w:val="009973DD"/>
    <w:pPr>
      <w:spacing w:after="160"/>
      <w:ind w:firstLine="660"/>
      <w:jc w:val="left"/>
      <w:outlineLvl w:val="4"/>
    </w:pPr>
    <w:rPr>
      <w:rFonts w:ascii="宋体" w:hAnsi="宋体" w:cs="宋体"/>
      <w:b/>
      <w:bCs/>
      <w:sz w:val="20"/>
      <w:szCs w:val="20"/>
      <w:lang w:val="zh-TW" w:eastAsia="zh-TW" w:bidi="zh-TW"/>
    </w:rPr>
  </w:style>
  <w:style w:type="character" w:customStyle="1" w:styleId="Bodytext6">
    <w:name w:val="Body text|6_"/>
    <w:basedOn w:val="a1"/>
    <w:link w:val="Bodytext60"/>
    <w:qFormat/>
    <w:rsid w:val="009973DD"/>
    <w:rPr>
      <w:rFonts w:ascii="宋体" w:hAnsi="宋体" w:cs="宋体"/>
      <w:smallCaps/>
      <w:sz w:val="30"/>
      <w:szCs w:val="30"/>
      <w:u w:val="single"/>
    </w:rPr>
  </w:style>
  <w:style w:type="paragraph" w:customStyle="1" w:styleId="Bodytext60">
    <w:name w:val="Body text|6"/>
    <w:basedOn w:val="a0"/>
    <w:link w:val="Bodytext6"/>
    <w:qFormat/>
    <w:rsid w:val="009973DD"/>
    <w:pPr>
      <w:jc w:val="center"/>
    </w:pPr>
    <w:rPr>
      <w:rFonts w:ascii="宋体" w:hAnsi="宋体" w:cs="宋体"/>
      <w:smallCaps/>
      <w:sz w:val="30"/>
      <w:szCs w:val="30"/>
      <w:u w:val="single"/>
    </w:rPr>
  </w:style>
  <w:style w:type="character" w:customStyle="1" w:styleId="Bodytext5">
    <w:name w:val="Body text|5_"/>
    <w:basedOn w:val="a1"/>
    <w:link w:val="Bodytext50"/>
    <w:qFormat/>
    <w:rsid w:val="009973DD"/>
    <w:rPr>
      <w:rFonts w:ascii="宋体" w:hAnsi="宋体" w:cs="宋体"/>
      <w:sz w:val="17"/>
      <w:szCs w:val="17"/>
      <w:u w:val="single"/>
    </w:rPr>
  </w:style>
  <w:style w:type="paragraph" w:customStyle="1" w:styleId="Bodytext50">
    <w:name w:val="Body text|5"/>
    <w:basedOn w:val="a0"/>
    <w:link w:val="Bodytext5"/>
    <w:qFormat/>
    <w:rsid w:val="009973DD"/>
    <w:pPr>
      <w:jc w:val="left"/>
    </w:pPr>
    <w:rPr>
      <w:rFonts w:ascii="宋体" w:hAnsi="宋体" w:cs="宋体"/>
      <w:sz w:val="17"/>
      <w:szCs w:val="17"/>
      <w:u w:val="single"/>
    </w:rPr>
  </w:style>
  <w:style w:type="character" w:customStyle="1" w:styleId="Heading41">
    <w:name w:val="Heading #4|1_"/>
    <w:basedOn w:val="a1"/>
    <w:link w:val="Heading410"/>
    <w:qFormat/>
    <w:rsid w:val="009973DD"/>
    <w:rPr>
      <w:sz w:val="26"/>
      <w:szCs w:val="26"/>
      <w:lang w:val="zh-TW" w:eastAsia="zh-TW" w:bidi="zh-TW"/>
    </w:rPr>
  </w:style>
  <w:style w:type="paragraph" w:customStyle="1" w:styleId="Heading410">
    <w:name w:val="Heading #4|1"/>
    <w:basedOn w:val="a0"/>
    <w:link w:val="Heading41"/>
    <w:qFormat/>
    <w:rsid w:val="009973DD"/>
    <w:pPr>
      <w:jc w:val="left"/>
      <w:outlineLvl w:val="3"/>
    </w:pPr>
    <w:rPr>
      <w:rFonts w:ascii="Calibri" w:hAnsi="Calibri"/>
      <w:sz w:val="26"/>
      <w:szCs w:val="26"/>
      <w:lang w:val="zh-TW" w:eastAsia="zh-TW" w:bidi="zh-TW"/>
    </w:rPr>
  </w:style>
  <w:style w:type="character" w:customStyle="1" w:styleId="Picturecaption2">
    <w:name w:val="Picture caption|2_"/>
    <w:basedOn w:val="a1"/>
    <w:link w:val="Picturecaption20"/>
    <w:qFormat/>
    <w:rsid w:val="009973DD"/>
    <w:rPr>
      <w:rFonts w:ascii="宋体" w:hAnsi="宋体" w:cs="宋体"/>
      <w:sz w:val="12"/>
      <w:szCs w:val="12"/>
      <w:lang w:val="zh-TW" w:eastAsia="zh-TW" w:bidi="zh-TW"/>
    </w:rPr>
  </w:style>
  <w:style w:type="paragraph" w:customStyle="1" w:styleId="Picturecaption20">
    <w:name w:val="Picture caption|2"/>
    <w:basedOn w:val="a0"/>
    <w:link w:val="Picturecaption2"/>
    <w:qFormat/>
    <w:rsid w:val="009973DD"/>
    <w:pPr>
      <w:spacing w:line="480" w:lineRule="auto"/>
      <w:jc w:val="left"/>
    </w:pPr>
    <w:rPr>
      <w:rFonts w:ascii="宋体" w:hAnsi="宋体" w:cs="宋体"/>
      <w:sz w:val="12"/>
      <w:szCs w:val="12"/>
      <w:lang w:val="zh-TW" w:eastAsia="zh-TW" w:bidi="zh-TW"/>
    </w:rPr>
  </w:style>
  <w:style w:type="character" w:customStyle="1" w:styleId="font31">
    <w:name w:val="font31"/>
    <w:basedOn w:val="a1"/>
    <w:qFormat/>
    <w:rsid w:val="009973DD"/>
    <w:rPr>
      <w:rFonts w:ascii="宋体" w:eastAsia="宋体" w:hAnsi="宋体" w:cs="宋体" w:hint="eastAsia"/>
      <w:color w:val="000000"/>
      <w:sz w:val="21"/>
      <w:szCs w:val="21"/>
      <w:u w:val="none"/>
    </w:rPr>
  </w:style>
  <w:style w:type="paragraph" w:customStyle="1" w:styleId="12">
    <w:name w:val="普通(网站)1"/>
    <w:basedOn w:val="a0"/>
    <w:qFormat/>
    <w:rsid w:val="009973DD"/>
    <w:pPr>
      <w:widowControl/>
      <w:spacing w:before="100" w:beforeAutospacing="1" w:after="100" w:afterAutospacing="1"/>
      <w:jc w:val="left"/>
    </w:pPr>
    <w:rPr>
      <w:rFonts w:ascii="宋体" w:hAnsi="宋体" w:cs="宋体"/>
      <w:color w:val="000000"/>
      <w:kern w:val="0"/>
      <w:sz w:val="24"/>
      <w:lang w:eastAsia="en-US" w:bidi="en-US"/>
    </w:rPr>
  </w:style>
  <w:style w:type="character" w:customStyle="1" w:styleId="font11">
    <w:name w:val="font11"/>
    <w:basedOn w:val="a1"/>
    <w:qFormat/>
    <w:rsid w:val="009973DD"/>
    <w:rPr>
      <w:rFonts w:ascii="宋体" w:eastAsia="宋体" w:hAnsi="宋体" w:cs="宋体" w:hint="eastAsia"/>
      <w:color w:val="000000"/>
      <w:sz w:val="18"/>
      <w:szCs w:val="18"/>
      <w:u w:val="none"/>
    </w:rPr>
  </w:style>
  <w:style w:type="character" w:customStyle="1" w:styleId="font21">
    <w:name w:val="font21"/>
    <w:basedOn w:val="a1"/>
    <w:qFormat/>
    <w:rsid w:val="009973DD"/>
    <w:rPr>
      <w:rFonts w:ascii="宋体" w:eastAsia="宋体" w:hAnsi="宋体" w:cs="宋体" w:hint="eastAsia"/>
      <w:color w:val="000000"/>
      <w:sz w:val="20"/>
      <w:szCs w:val="20"/>
      <w:u w:val="none"/>
    </w:rPr>
  </w:style>
  <w:style w:type="paragraph" w:customStyle="1" w:styleId="a">
    <w:name w:val="编码新样式"/>
    <w:basedOn w:val="a0"/>
    <w:next w:val="a0"/>
    <w:qFormat/>
    <w:rsid w:val="00040C1D"/>
    <w:pPr>
      <w:numPr>
        <w:numId w:val="1"/>
      </w:numPr>
      <w:wordWrap w:val="0"/>
      <w:spacing w:line="360" w:lineRule="auto"/>
      <w:ind w:firstLineChars="200" w:firstLine="200"/>
    </w:pPr>
    <w:rPr>
      <w:b/>
      <w:bCs/>
      <w:color w:val="FF0000"/>
      <w:szCs w:val="20"/>
    </w:rPr>
  </w:style>
  <w:style w:type="paragraph" w:customStyle="1" w:styleId="afa">
    <w:name w:val="报告正文格式"/>
    <w:basedOn w:val="a0"/>
    <w:qFormat/>
    <w:rsid w:val="00F461BA"/>
    <w:pPr>
      <w:spacing w:line="360" w:lineRule="auto"/>
      <w:ind w:firstLineChars="200" w:firstLine="200"/>
    </w:pPr>
    <w:rPr>
      <w:kern w:val="0"/>
      <w:sz w:val="24"/>
    </w:rPr>
  </w:style>
  <w:style w:type="character" w:styleId="afb">
    <w:name w:val="footnote reference"/>
    <w:basedOn w:val="a1"/>
    <w:qFormat/>
    <w:rsid w:val="00C422EE"/>
    <w:rPr>
      <w:rFonts w:ascii="Tahoma" w:eastAsia="宋体" w:hAnsi="Tahoma" w:cs="Times New Roman"/>
      <w:kern w:val="2"/>
      <w:sz w:val="24"/>
      <w:szCs w:val="24"/>
      <w:vertAlign w:val="superscript"/>
      <w:lang w:val="en-US" w:eastAsia="zh-CN" w:bidi="ar-SA"/>
    </w:rPr>
  </w:style>
  <w:style w:type="character" w:customStyle="1" w:styleId="DocumentMapChar">
    <w:name w:val="Document Map Char"/>
    <w:uiPriority w:val="99"/>
    <w:qFormat/>
    <w:locked/>
    <w:rsid w:val="00C422EE"/>
    <w:rPr>
      <w:rFonts w:ascii="宋体"/>
      <w:sz w:val="18"/>
    </w:rPr>
  </w:style>
  <w:style w:type="paragraph" w:styleId="afc">
    <w:name w:val="footnote text"/>
    <w:basedOn w:val="a0"/>
    <w:link w:val="Charc"/>
    <w:qFormat/>
    <w:rsid w:val="00C422EE"/>
    <w:pPr>
      <w:snapToGrid w:val="0"/>
      <w:spacing w:line="460" w:lineRule="exact"/>
      <w:jc w:val="left"/>
    </w:pPr>
    <w:rPr>
      <w:sz w:val="18"/>
      <w:szCs w:val="18"/>
    </w:rPr>
  </w:style>
  <w:style w:type="character" w:customStyle="1" w:styleId="Charc">
    <w:name w:val="脚注文本 Char"/>
    <w:basedOn w:val="a1"/>
    <w:link w:val="afc"/>
    <w:qFormat/>
    <w:rsid w:val="00C422EE"/>
    <w:rPr>
      <w:rFonts w:ascii="Times New Roman" w:hAnsi="Times New Roman"/>
      <w:sz w:val="18"/>
      <w:szCs w:val="18"/>
    </w:rPr>
  </w:style>
  <w:style w:type="paragraph" w:styleId="afd">
    <w:name w:val="Document Map"/>
    <w:basedOn w:val="a0"/>
    <w:link w:val="Chard"/>
    <w:uiPriority w:val="99"/>
    <w:qFormat/>
    <w:rsid w:val="00C422EE"/>
    <w:pPr>
      <w:spacing w:line="460" w:lineRule="exact"/>
    </w:pPr>
    <w:rPr>
      <w:rFonts w:ascii="宋体" w:hAnsi="Calibri"/>
      <w:kern w:val="0"/>
      <w:sz w:val="18"/>
      <w:szCs w:val="18"/>
    </w:rPr>
  </w:style>
  <w:style w:type="character" w:customStyle="1" w:styleId="Chard">
    <w:name w:val="文档结构图 Char"/>
    <w:basedOn w:val="a1"/>
    <w:link w:val="afd"/>
    <w:uiPriority w:val="99"/>
    <w:qFormat/>
    <w:rsid w:val="00C422EE"/>
    <w:rPr>
      <w:rFonts w:ascii="宋体"/>
      <w:kern w:val="0"/>
      <w:sz w:val="18"/>
      <w:szCs w:val="18"/>
    </w:rPr>
  </w:style>
  <w:style w:type="paragraph" w:customStyle="1" w:styleId="CharCharCharCharCharCharCharCharCharCharCharCharCharCharChar">
    <w:name w:val="Char Char Char Char Char Char Char Char Char Char Char Char Char Char Char"/>
    <w:basedOn w:val="a0"/>
    <w:uiPriority w:val="99"/>
    <w:qFormat/>
    <w:rsid w:val="00C422EE"/>
    <w:rPr>
      <w:rFonts w:ascii="宋体" w:hAnsi="宋体" w:cs="Courier New"/>
      <w:sz w:val="32"/>
      <w:szCs w:val="32"/>
    </w:rPr>
  </w:style>
  <w:style w:type="character" w:styleId="afe">
    <w:name w:val="Strong"/>
    <w:basedOn w:val="a1"/>
    <w:uiPriority w:val="22"/>
    <w:qFormat/>
    <w:locked/>
    <w:rsid w:val="00C422EE"/>
    <w:rPr>
      <w:rFonts w:cs="Times New Roman"/>
      <w:b/>
    </w:rPr>
  </w:style>
  <w:style w:type="paragraph" w:styleId="aff">
    <w:name w:val="endnote text"/>
    <w:basedOn w:val="a0"/>
    <w:link w:val="Chare"/>
    <w:qFormat/>
    <w:rsid w:val="00C422EE"/>
    <w:pPr>
      <w:snapToGrid w:val="0"/>
      <w:jc w:val="left"/>
    </w:pPr>
    <w:rPr>
      <w:rFonts w:ascii="Calibri" w:hAnsi="Calibri"/>
    </w:rPr>
  </w:style>
  <w:style w:type="character" w:customStyle="1" w:styleId="Chare">
    <w:name w:val="尾注文本 Char"/>
    <w:basedOn w:val="a1"/>
    <w:link w:val="aff"/>
    <w:qFormat/>
    <w:rsid w:val="00C422EE"/>
    <w:rPr>
      <w:szCs w:val="24"/>
    </w:rPr>
  </w:style>
  <w:style w:type="character" w:styleId="aff0">
    <w:name w:val="endnote reference"/>
    <w:basedOn w:val="a1"/>
    <w:qFormat/>
    <w:rsid w:val="00C422EE"/>
    <w:rPr>
      <w:rFonts w:cs="Times New Roman"/>
      <w:vertAlign w:val="superscript"/>
    </w:rPr>
  </w:style>
  <w:style w:type="paragraph" w:customStyle="1" w:styleId="13">
    <w:name w:val="列出段落1"/>
    <w:basedOn w:val="a0"/>
    <w:uiPriority w:val="34"/>
    <w:qFormat/>
    <w:rsid w:val="00C422EE"/>
    <w:pPr>
      <w:ind w:firstLineChars="200" w:firstLine="420"/>
    </w:pPr>
  </w:style>
  <w:style w:type="character" w:customStyle="1" w:styleId="2Char2">
    <w:name w:val="样式2 Char"/>
    <w:link w:val="22"/>
    <w:locked/>
    <w:rsid w:val="00BA3138"/>
    <w:rPr>
      <w:sz w:val="24"/>
      <w:lang w:val="zh-CN"/>
    </w:rPr>
  </w:style>
  <w:style w:type="paragraph" w:customStyle="1" w:styleId="22">
    <w:name w:val="样式2"/>
    <w:basedOn w:val="a0"/>
    <w:link w:val="2Char2"/>
    <w:rsid w:val="00BA3138"/>
    <w:pPr>
      <w:spacing w:line="360" w:lineRule="auto"/>
    </w:pPr>
    <w:rPr>
      <w:rFonts w:ascii="Calibri" w:hAnsi="Calibri"/>
      <w:sz w:val="24"/>
      <w:szCs w:val="22"/>
      <w:lang w:val="zh-CN"/>
    </w:rPr>
  </w:style>
  <w:style w:type="paragraph" w:styleId="14">
    <w:name w:val="toc 1"/>
    <w:basedOn w:val="a0"/>
    <w:next w:val="a0"/>
    <w:autoRedefine/>
    <w:locked/>
    <w:rsid w:val="00BA3138"/>
    <w:pPr>
      <w:tabs>
        <w:tab w:val="right" w:leader="dot" w:pos="8789"/>
      </w:tabs>
      <w:spacing w:line="520" w:lineRule="exact"/>
      <w:ind w:left="480" w:hangingChars="150" w:hanging="480"/>
    </w:pPr>
    <w:rPr>
      <w:rFonts w:ascii="仿宋" w:eastAsia="仿宋" w:hAnsi="仿宋"/>
      <w:noProof/>
      <w:sz w:val="32"/>
      <w:szCs w:val="32"/>
    </w:rPr>
  </w:style>
  <w:style w:type="paragraph" w:styleId="23">
    <w:name w:val="toc 2"/>
    <w:basedOn w:val="a0"/>
    <w:next w:val="a0"/>
    <w:autoRedefine/>
    <w:locked/>
    <w:rsid w:val="00BA3138"/>
    <w:pPr>
      <w:ind w:leftChars="200" w:left="420"/>
    </w:pPr>
  </w:style>
  <w:style w:type="paragraph" w:customStyle="1" w:styleId="aff1">
    <w:name w:val="标准正文"/>
    <w:qFormat/>
    <w:rsid w:val="00BA3138"/>
    <w:pPr>
      <w:spacing w:line="540" w:lineRule="exact"/>
      <w:ind w:firstLineChars="200" w:firstLine="200"/>
      <w:jc w:val="both"/>
    </w:pPr>
    <w:rPr>
      <w:rFonts w:ascii="仿宋_GB2312" w:eastAsia="仿宋_GB2312" w:hAnsi="仿宋_GB2312" w:cs="仿宋_GB2312"/>
      <w:kern w:val="0"/>
      <w:sz w:val="32"/>
      <w:szCs w:val="32"/>
    </w:rPr>
  </w:style>
  <w:style w:type="character" w:customStyle="1" w:styleId="Char16">
    <w:name w:val="文档结构图 Char1"/>
    <w:basedOn w:val="a1"/>
    <w:uiPriority w:val="99"/>
    <w:rsid w:val="00BA3138"/>
    <w:rPr>
      <w:rFonts w:ascii="宋体"/>
      <w:kern w:val="2"/>
      <w:sz w:val="18"/>
      <w:szCs w:val="18"/>
    </w:rPr>
  </w:style>
  <w:style w:type="paragraph" w:customStyle="1" w:styleId="CharCharCharCharCharCharCharCharCharCharCharCharCharCharChar0">
    <w:name w:val="Char Char Char Char Char Char Char Char Char Char Char Char Char Char Char"/>
    <w:basedOn w:val="a0"/>
    <w:rsid w:val="00BA3138"/>
    <w:rPr>
      <w:rFonts w:ascii="宋体" w:hAnsi="宋体" w:cs="Courier New"/>
      <w:sz w:val="32"/>
      <w:szCs w:val="32"/>
    </w:rPr>
  </w:style>
  <w:style w:type="character" w:customStyle="1" w:styleId="content1">
    <w:name w:val="content1"/>
    <w:basedOn w:val="a1"/>
    <w:rsid w:val="00BA3138"/>
    <w:rPr>
      <w:rFonts w:ascii="Tahoma" w:eastAsia="宋体" w:hAnsi="Tahoma" w:cs="Tahoma" w:hint="default"/>
      <w:kern w:val="2"/>
      <w:sz w:val="21"/>
      <w:szCs w:val="21"/>
      <w:lang w:val="en-US" w:eastAsia="zh-CN" w:bidi="ar-SA"/>
    </w:rPr>
  </w:style>
  <w:style w:type="character" w:customStyle="1" w:styleId="p141">
    <w:name w:val="p141"/>
    <w:basedOn w:val="a1"/>
    <w:rsid w:val="00BA3138"/>
    <w:rPr>
      <w:rFonts w:ascii="Tahoma" w:eastAsia="宋体" w:hAnsi="Tahoma"/>
      <w:strike w:val="0"/>
      <w:dstrike w:val="0"/>
      <w:kern w:val="2"/>
      <w:sz w:val="21"/>
      <w:szCs w:val="21"/>
      <w:u w:val="none"/>
      <w:lang w:val="en-US" w:eastAsia="zh-CN" w:bidi="ar-SA"/>
    </w:rPr>
  </w:style>
  <w:style w:type="character" w:customStyle="1" w:styleId="apple-converted-space">
    <w:name w:val="apple-converted-space"/>
    <w:basedOn w:val="a1"/>
    <w:rsid w:val="00BA3138"/>
  </w:style>
  <w:style w:type="paragraph" w:styleId="30">
    <w:name w:val="Body Text Indent 3"/>
    <w:basedOn w:val="a0"/>
    <w:link w:val="3Char0"/>
    <w:rsid w:val="00BA3138"/>
    <w:pPr>
      <w:spacing w:line="540" w:lineRule="exact"/>
      <w:ind w:firstLine="630"/>
    </w:pPr>
    <w:rPr>
      <w:rFonts w:ascii="仿宋_GB2312" w:eastAsia="仿宋_GB2312"/>
      <w:sz w:val="32"/>
    </w:rPr>
  </w:style>
  <w:style w:type="character" w:customStyle="1" w:styleId="3Char0">
    <w:name w:val="正文文本缩进 3 Char"/>
    <w:basedOn w:val="a1"/>
    <w:link w:val="30"/>
    <w:rsid w:val="00BA3138"/>
    <w:rPr>
      <w:rFonts w:ascii="仿宋_GB2312" w:eastAsia="仿宋_GB2312" w:hAnsi="Times New Roman"/>
      <w:sz w:val="32"/>
      <w:szCs w:val="24"/>
    </w:rPr>
  </w:style>
  <w:style w:type="paragraph" w:customStyle="1" w:styleId="Char1CharCharCharCharCharChar">
    <w:name w:val="Char1 Char Char Char Char Char Char"/>
    <w:basedOn w:val="a0"/>
    <w:rsid w:val="00BA3138"/>
    <w:pPr>
      <w:ind w:left="540" w:hangingChars="180" w:hanging="540"/>
    </w:pPr>
    <w:rPr>
      <w:rFonts w:ascii="Tahoma" w:hAnsi="Tahoma"/>
      <w:sz w:val="24"/>
    </w:rPr>
  </w:style>
  <w:style w:type="paragraph" w:customStyle="1" w:styleId="24">
    <w:name w:val="列出段落2"/>
    <w:basedOn w:val="a0"/>
    <w:rsid w:val="00BA3138"/>
    <w:pPr>
      <w:ind w:firstLineChars="200" w:firstLine="420"/>
    </w:pPr>
    <w:rPr>
      <w:szCs w:val="21"/>
    </w:rPr>
  </w:style>
  <w:style w:type="paragraph" w:styleId="HTML">
    <w:name w:val="HTML Preformatted"/>
    <w:basedOn w:val="a0"/>
    <w:link w:val="HTMLChar"/>
    <w:rsid w:val="00BA3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rsid w:val="00BA3138"/>
    <w:rPr>
      <w:rFonts w:ascii="宋体" w:hAnsi="宋体"/>
      <w:kern w:val="0"/>
      <w:sz w:val="24"/>
      <w:szCs w:val="24"/>
    </w:rPr>
  </w:style>
  <w:style w:type="paragraph" w:styleId="25">
    <w:name w:val="Body Text 2"/>
    <w:basedOn w:val="a0"/>
    <w:link w:val="2Char3"/>
    <w:rsid w:val="00BA3138"/>
    <w:rPr>
      <w:rFonts w:ascii="仿宋_GB2312" w:eastAsia="仿宋_GB2312" w:hAnsi="宋体"/>
      <w:bCs/>
      <w:sz w:val="30"/>
      <w:szCs w:val="30"/>
    </w:rPr>
  </w:style>
  <w:style w:type="character" w:customStyle="1" w:styleId="2Char3">
    <w:name w:val="正文文本 2 Char"/>
    <w:basedOn w:val="a1"/>
    <w:link w:val="25"/>
    <w:rsid w:val="00BA3138"/>
    <w:rPr>
      <w:rFonts w:ascii="仿宋_GB2312" w:eastAsia="仿宋_GB2312" w:hAnsi="宋体"/>
      <w:bCs/>
      <w:sz w:val="30"/>
      <w:szCs w:val="30"/>
    </w:rPr>
  </w:style>
  <w:style w:type="paragraph" w:customStyle="1" w:styleId="CharCharChar">
    <w:name w:val="默认段落字体 Char Char Char"/>
    <w:aliases w:val=" Char Char Char Char2 Char,Char Char Char Char2 Char"/>
    <w:basedOn w:val="a0"/>
    <w:next w:val="a0"/>
    <w:rsid w:val="00BA3138"/>
    <w:rPr>
      <w:rFonts w:ascii="Tahoma" w:hAnsi="Tahoma"/>
      <w:sz w:val="24"/>
    </w:rPr>
  </w:style>
  <w:style w:type="paragraph" w:customStyle="1" w:styleId="CharCharCharCharCharCharCharCharCharCharCharCharChar">
    <w:name w:val="Char Char Char Char Char Char Char Char Char Char Char Char Char"/>
    <w:basedOn w:val="a0"/>
    <w:rsid w:val="00BA3138"/>
    <w:rPr>
      <w:rFonts w:ascii="Tahoma" w:hAnsi="Tahoma" w:cs="Tahoma"/>
      <w:sz w:val="24"/>
    </w:rPr>
  </w:style>
  <w:style w:type="character" w:customStyle="1" w:styleId="HeaderChar">
    <w:name w:val="Header Char"/>
    <w:basedOn w:val="a1"/>
    <w:locked/>
    <w:rsid w:val="00BA3138"/>
    <w:rPr>
      <w:rFonts w:eastAsia="宋体"/>
      <w:kern w:val="2"/>
      <w:sz w:val="18"/>
      <w:szCs w:val="18"/>
      <w:lang w:val="en-US" w:eastAsia="zh-CN" w:bidi="ar-SA"/>
    </w:rPr>
  </w:style>
  <w:style w:type="character" w:customStyle="1" w:styleId="FooterChar">
    <w:name w:val="Footer Char"/>
    <w:basedOn w:val="a1"/>
    <w:locked/>
    <w:rsid w:val="00BA3138"/>
    <w:rPr>
      <w:rFonts w:eastAsia="宋体"/>
      <w:kern w:val="2"/>
      <w:sz w:val="18"/>
      <w:szCs w:val="18"/>
      <w:lang w:val="en-US" w:eastAsia="zh-CN" w:bidi="ar-SA"/>
    </w:rPr>
  </w:style>
  <w:style w:type="paragraph" w:customStyle="1" w:styleId="Char1CharCharCharCharCharChar0">
    <w:name w:val="Char1 Char Char Char Char Char Char"/>
    <w:basedOn w:val="a0"/>
    <w:autoRedefine/>
    <w:rsid w:val="00BA3138"/>
    <w:pPr>
      <w:ind w:left="540" w:hangingChars="180" w:hanging="540"/>
    </w:pPr>
    <w:rPr>
      <w:rFonts w:ascii="Tahoma" w:hAnsi="Tahoma"/>
      <w:sz w:val="24"/>
    </w:rPr>
  </w:style>
  <w:style w:type="paragraph" w:customStyle="1" w:styleId="Aff2">
    <w:name w:val="正文 A"/>
    <w:qFormat/>
    <w:rsid w:val="00BA3138"/>
    <w:pPr>
      <w:widowControl w:val="0"/>
      <w:jc w:val="both"/>
    </w:pPr>
    <w:rPr>
      <w:rFonts w:ascii="Times New Roman" w:eastAsia="ヒラギノ角ゴ Pro W3" w:hAnsi="Times New Roman"/>
      <w:color w:val="000000"/>
      <w:szCs w:val="20"/>
    </w:rPr>
  </w:style>
  <w:style w:type="paragraph" w:styleId="aff3">
    <w:name w:val="Body Text First Indent"/>
    <w:basedOn w:val="af3"/>
    <w:link w:val="Charf"/>
    <w:rsid w:val="00BA3138"/>
    <w:pPr>
      <w:spacing w:after="120"/>
      <w:ind w:firstLineChars="100" w:firstLine="420"/>
    </w:pPr>
    <w:rPr>
      <w:rFonts w:ascii="Times New Roman" w:hAnsi="Times New Roman" w:cs="Times New Roman"/>
      <w:szCs w:val="24"/>
      <w:lang w:val="en-US" w:bidi="ar-SA"/>
    </w:rPr>
  </w:style>
  <w:style w:type="character" w:customStyle="1" w:styleId="Charf">
    <w:name w:val="正文首行缩进 Char"/>
    <w:basedOn w:val="Char8"/>
    <w:link w:val="aff3"/>
    <w:rsid w:val="00BA3138"/>
    <w:rPr>
      <w:rFonts w:ascii="Times New Roman" w:hAnsi="Times New Roman"/>
      <w:szCs w:val="24"/>
    </w:rPr>
  </w:style>
  <w:style w:type="character" w:customStyle="1" w:styleId="xformfieldlayout">
    <w:name w:val="xform_fieldlayout"/>
    <w:basedOn w:val="a1"/>
    <w:rsid w:val="00BA3138"/>
  </w:style>
  <w:style w:type="character" w:styleId="aff4">
    <w:name w:val="Emphasis"/>
    <w:basedOn w:val="a1"/>
    <w:uiPriority w:val="20"/>
    <w:qFormat/>
    <w:locked/>
    <w:rsid w:val="00BA3138"/>
    <w:rPr>
      <w:i/>
      <w:iCs/>
    </w:rPr>
  </w:style>
  <w:style w:type="paragraph" w:customStyle="1" w:styleId="110">
    <w:name w:val="标题 11"/>
    <w:basedOn w:val="a0"/>
    <w:uiPriority w:val="99"/>
    <w:qFormat/>
    <w:rsid w:val="00BA3138"/>
    <w:pPr>
      <w:ind w:left="2743"/>
      <w:jc w:val="left"/>
      <w:outlineLvl w:val="1"/>
    </w:pPr>
    <w:rPr>
      <w:rFonts w:ascii="宋体" w:hAnsi="宋体"/>
      <w:b/>
      <w:bCs/>
      <w:kern w:val="0"/>
      <w:szCs w:val="21"/>
      <w:lang w:eastAsia="en-US"/>
    </w:rPr>
  </w:style>
  <w:style w:type="paragraph" w:customStyle="1" w:styleId="p0">
    <w:name w:val="p0"/>
    <w:basedOn w:val="a0"/>
    <w:rsid w:val="00BA3138"/>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5668546">
      <w:bodyDiv w:val="1"/>
      <w:marLeft w:val="0"/>
      <w:marRight w:val="0"/>
      <w:marTop w:val="0"/>
      <w:marBottom w:val="0"/>
      <w:divBdr>
        <w:top w:val="none" w:sz="0" w:space="0" w:color="auto"/>
        <w:left w:val="none" w:sz="0" w:space="0" w:color="auto"/>
        <w:bottom w:val="none" w:sz="0" w:space="0" w:color="auto"/>
        <w:right w:val="none" w:sz="0" w:space="0" w:color="auto"/>
      </w:divBdr>
    </w:div>
    <w:div w:id="48961510">
      <w:bodyDiv w:val="1"/>
      <w:marLeft w:val="0"/>
      <w:marRight w:val="0"/>
      <w:marTop w:val="0"/>
      <w:marBottom w:val="0"/>
      <w:divBdr>
        <w:top w:val="none" w:sz="0" w:space="0" w:color="auto"/>
        <w:left w:val="none" w:sz="0" w:space="0" w:color="auto"/>
        <w:bottom w:val="none" w:sz="0" w:space="0" w:color="auto"/>
        <w:right w:val="none" w:sz="0" w:space="0" w:color="auto"/>
      </w:divBdr>
    </w:div>
    <w:div w:id="59718553">
      <w:bodyDiv w:val="1"/>
      <w:marLeft w:val="0"/>
      <w:marRight w:val="0"/>
      <w:marTop w:val="0"/>
      <w:marBottom w:val="0"/>
      <w:divBdr>
        <w:top w:val="none" w:sz="0" w:space="0" w:color="auto"/>
        <w:left w:val="none" w:sz="0" w:space="0" w:color="auto"/>
        <w:bottom w:val="none" w:sz="0" w:space="0" w:color="auto"/>
        <w:right w:val="none" w:sz="0" w:space="0" w:color="auto"/>
      </w:divBdr>
    </w:div>
    <w:div w:id="72120048">
      <w:bodyDiv w:val="1"/>
      <w:marLeft w:val="0"/>
      <w:marRight w:val="0"/>
      <w:marTop w:val="0"/>
      <w:marBottom w:val="0"/>
      <w:divBdr>
        <w:top w:val="none" w:sz="0" w:space="0" w:color="auto"/>
        <w:left w:val="none" w:sz="0" w:space="0" w:color="auto"/>
        <w:bottom w:val="none" w:sz="0" w:space="0" w:color="auto"/>
        <w:right w:val="none" w:sz="0" w:space="0" w:color="auto"/>
      </w:divBdr>
    </w:div>
    <w:div w:id="191114015">
      <w:bodyDiv w:val="1"/>
      <w:marLeft w:val="0"/>
      <w:marRight w:val="0"/>
      <w:marTop w:val="0"/>
      <w:marBottom w:val="0"/>
      <w:divBdr>
        <w:top w:val="none" w:sz="0" w:space="0" w:color="auto"/>
        <w:left w:val="none" w:sz="0" w:space="0" w:color="auto"/>
        <w:bottom w:val="none" w:sz="0" w:space="0" w:color="auto"/>
        <w:right w:val="none" w:sz="0" w:space="0" w:color="auto"/>
      </w:divBdr>
    </w:div>
    <w:div w:id="204222552">
      <w:bodyDiv w:val="1"/>
      <w:marLeft w:val="0"/>
      <w:marRight w:val="0"/>
      <w:marTop w:val="0"/>
      <w:marBottom w:val="0"/>
      <w:divBdr>
        <w:top w:val="none" w:sz="0" w:space="0" w:color="auto"/>
        <w:left w:val="none" w:sz="0" w:space="0" w:color="auto"/>
        <w:bottom w:val="none" w:sz="0" w:space="0" w:color="auto"/>
        <w:right w:val="none" w:sz="0" w:space="0" w:color="auto"/>
      </w:divBdr>
    </w:div>
    <w:div w:id="271404034">
      <w:bodyDiv w:val="1"/>
      <w:marLeft w:val="0"/>
      <w:marRight w:val="0"/>
      <w:marTop w:val="0"/>
      <w:marBottom w:val="0"/>
      <w:divBdr>
        <w:top w:val="none" w:sz="0" w:space="0" w:color="auto"/>
        <w:left w:val="none" w:sz="0" w:space="0" w:color="auto"/>
        <w:bottom w:val="none" w:sz="0" w:space="0" w:color="auto"/>
        <w:right w:val="none" w:sz="0" w:space="0" w:color="auto"/>
      </w:divBdr>
    </w:div>
    <w:div w:id="271518670">
      <w:bodyDiv w:val="1"/>
      <w:marLeft w:val="0"/>
      <w:marRight w:val="0"/>
      <w:marTop w:val="0"/>
      <w:marBottom w:val="0"/>
      <w:divBdr>
        <w:top w:val="none" w:sz="0" w:space="0" w:color="auto"/>
        <w:left w:val="none" w:sz="0" w:space="0" w:color="auto"/>
        <w:bottom w:val="none" w:sz="0" w:space="0" w:color="auto"/>
        <w:right w:val="none" w:sz="0" w:space="0" w:color="auto"/>
      </w:divBdr>
    </w:div>
    <w:div w:id="306204637">
      <w:bodyDiv w:val="1"/>
      <w:marLeft w:val="0"/>
      <w:marRight w:val="0"/>
      <w:marTop w:val="0"/>
      <w:marBottom w:val="0"/>
      <w:divBdr>
        <w:top w:val="none" w:sz="0" w:space="0" w:color="auto"/>
        <w:left w:val="none" w:sz="0" w:space="0" w:color="auto"/>
        <w:bottom w:val="none" w:sz="0" w:space="0" w:color="auto"/>
        <w:right w:val="none" w:sz="0" w:space="0" w:color="auto"/>
      </w:divBdr>
    </w:div>
    <w:div w:id="323508329">
      <w:bodyDiv w:val="1"/>
      <w:marLeft w:val="0"/>
      <w:marRight w:val="0"/>
      <w:marTop w:val="0"/>
      <w:marBottom w:val="0"/>
      <w:divBdr>
        <w:top w:val="none" w:sz="0" w:space="0" w:color="auto"/>
        <w:left w:val="none" w:sz="0" w:space="0" w:color="auto"/>
        <w:bottom w:val="none" w:sz="0" w:space="0" w:color="auto"/>
        <w:right w:val="none" w:sz="0" w:space="0" w:color="auto"/>
      </w:divBdr>
    </w:div>
    <w:div w:id="381829068">
      <w:bodyDiv w:val="1"/>
      <w:marLeft w:val="0"/>
      <w:marRight w:val="0"/>
      <w:marTop w:val="0"/>
      <w:marBottom w:val="0"/>
      <w:divBdr>
        <w:top w:val="none" w:sz="0" w:space="0" w:color="auto"/>
        <w:left w:val="none" w:sz="0" w:space="0" w:color="auto"/>
        <w:bottom w:val="none" w:sz="0" w:space="0" w:color="auto"/>
        <w:right w:val="none" w:sz="0" w:space="0" w:color="auto"/>
      </w:divBdr>
    </w:div>
    <w:div w:id="440496872">
      <w:bodyDiv w:val="1"/>
      <w:marLeft w:val="0"/>
      <w:marRight w:val="0"/>
      <w:marTop w:val="0"/>
      <w:marBottom w:val="0"/>
      <w:divBdr>
        <w:top w:val="none" w:sz="0" w:space="0" w:color="auto"/>
        <w:left w:val="none" w:sz="0" w:space="0" w:color="auto"/>
        <w:bottom w:val="none" w:sz="0" w:space="0" w:color="auto"/>
        <w:right w:val="none" w:sz="0" w:space="0" w:color="auto"/>
      </w:divBdr>
    </w:div>
    <w:div w:id="491719902">
      <w:bodyDiv w:val="1"/>
      <w:marLeft w:val="0"/>
      <w:marRight w:val="0"/>
      <w:marTop w:val="0"/>
      <w:marBottom w:val="0"/>
      <w:divBdr>
        <w:top w:val="none" w:sz="0" w:space="0" w:color="auto"/>
        <w:left w:val="none" w:sz="0" w:space="0" w:color="auto"/>
        <w:bottom w:val="none" w:sz="0" w:space="0" w:color="auto"/>
        <w:right w:val="none" w:sz="0" w:space="0" w:color="auto"/>
      </w:divBdr>
    </w:div>
    <w:div w:id="556668432">
      <w:marLeft w:val="0"/>
      <w:marRight w:val="0"/>
      <w:marTop w:val="0"/>
      <w:marBottom w:val="0"/>
      <w:divBdr>
        <w:top w:val="none" w:sz="0" w:space="0" w:color="auto"/>
        <w:left w:val="none" w:sz="0" w:space="0" w:color="auto"/>
        <w:bottom w:val="none" w:sz="0" w:space="0" w:color="auto"/>
        <w:right w:val="none" w:sz="0" w:space="0" w:color="auto"/>
      </w:divBdr>
    </w:div>
    <w:div w:id="556668433">
      <w:marLeft w:val="0"/>
      <w:marRight w:val="0"/>
      <w:marTop w:val="0"/>
      <w:marBottom w:val="0"/>
      <w:divBdr>
        <w:top w:val="none" w:sz="0" w:space="0" w:color="auto"/>
        <w:left w:val="none" w:sz="0" w:space="0" w:color="auto"/>
        <w:bottom w:val="none" w:sz="0" w:space="0" w:color="auto"/>
        <w:right w:val="none" w:sz="0" w:space="0" w:color="auto"/>
      </w:divBdr>
    </w:div>
    <w:div w:id="556668434">
      <w:marLeft w:val="0"/>
      <w:marRight w:val="0"/>
      <w:marTop w:val="0"/>
      <w:marBottom w:val="0"/>
      <w:divBdr>
        <w:top w:val="none" w:sz="0" w:space="0" w:color="auto"/>
        <w:left w:val="none" w:sz="0" w:space="0" w:color="auto"/>
        <w:bottom w:val="none" w:sz="0" w:space="0" w:color="auto"/>
        <w:right w:val="none" w:sz="0" w:space="0" w:color="auto"/>
      </w:divBdr>
    </w:div>
    <w:div w:id="556668435">
      <w:marLeft w:val="0"/>
      <w:marRight w:val="0"/>
      <w:marTop w:val="0"/>
      <w:marBottom w:val="0"/>
      <w:divBdr>
        <w:top w:val="none" w:sz="0" w:space="0" w:color="auto"/>
        <w:left w:val="none" w:sz="0" w:space="0" w:color="auto"/>
        <w:bottom w:val="none" w:sz="0" w:space="0" w:color="auto"/>
        <w:right w:val="none" w:sz="0" w:space="0" w:color="auto"/>
      </w:divBdr>
    </w:div>
    <w:div w:id="556668436">
      <w:marLeft w:val="0"/>
      <w:marRight w:val="0"/>
      <w:marTop w:val="0"/>
      <w:marBottom w:val="0"/>
      <w:divBdr>
        <w:top w:val="none" w:sz="0" w:space="0" w:color="auto"/>
        <w:left w:val="none" w:sz="0" w:space="0" w:color="auto"/>
        <w:bottom w:val="none" w:sz="0" w:space="0" w:color="auto"/>
        <w:right w:val="none" w:sz="0" w:space="0" w:color="auto"/>
      </w:divBdr>
    </w:div>
    <w:div w:id="556668437">
      <w:marLeft w:val="0"/>
      <w:marRight w:val="0"/>
      <w:marTop w:val="0"/>
      <w:marBottom w:val="0"/>
      <w:divBdr>
        <w:top w:val="none" w:sz="0" w:space="0" w:color="auto"/>
        <w:left w:val="none" w:sz="0" w:space="0" w:color="auto"/>
        <w:bottom w:val="none" w:sz="0" w:space="0" w:color="auto"/>
        <w:right w:val="none" w:sz="0" w:space="0" w:color="auto"/>
      </w:divBdr>
    </w:div>
    <w:div w:id="556668438">
      <w:marLeft w:val="0"/>
      <w:marRight w:val="0"/>
      <w:marTop w:val="0"/>
      <w:marBottom w:val="0"/>
      <w:divBdr>
        <w:top w:val="none" w:sz="0" w:space="0" w:color="auto"/>
        <w:left w:val="none" w:sz="0" w:space="0" w:color="auto"/>
        <w:bottom w:val="none" w:sz="0" w:space="0" w:color="auto"/>
        <w:right w:val="none" w:sz="0" w:space="0" w:color="auto"/>
      </w:divBdr>
    </w:div>
    <w:div w:id="556668439">
      <w:marLeft w:val="0"/>
      <w:marRight w:val="0"/>
      <w:marTop w:val="0"/>
      <w:marBottom w:val="0"/>
      <w:divBdr>
        <w:top w:val="none" w:sz="0" w:space="0" w:color="auto"/>
        <w:left w:val="none" w:sz="0" w:space="0" w:color="auto"/>
        <w:bottom w:val="none" w:sz="0" w:space="0" w:color="auto"/>
        <w:right w:val="none" w:sz="0" w:space="0" w:color="auto"/>
      </w:divBdr>
    </w:div>
    <w:div w:id="556668440">
      <w:marLeft w:val="0"/>
      <w:marRight w:val="0"/>
      <w:marTop w:val="0"/>
      <w:marBottom w:val="0"/>
      <w:divBdr>
        <w:top w:val="none" w:sz="0" w:space="0" w:color="auto"/>
        <w:left w:val="none" w:sz="0" w:space="0" w:color="auto"/>
        <w:bottom w:val="none" w:sz="0" w:space="0" w:color="auto"/>
        <w:right w:val="none" w:sz="0" w:space="0" w:color="auto"/>
      </w:divBdr>
    </w:div>
    <w:div w:id="556668441">
      <w:marLeft w:val="0"/>
      <w:marRight w:val="0"/>
      <w:marTop w:val="0"/>
      <w:marBottom w:val="0"/>
      <w:divBdr>
        <w:top w:val="none" w:sz="0" w:space="0" w:color="auto"/>
        <w:left w:val="none" w:sz="0" w:space="0" w:color="auto"/>
        <w:bottom w:val="none" w:sz="0" w:space="0" w:color="auto"/>
        <w:right w:val="none" w:sz="0" w:space="0" w:color="auto"/>
      </w:divBdr>
    </w:div>
    <w:div w:id="556668442">
      <w:marLeft w:val="0"/>
      <w:marRight w:val="0"/>
      <w:marTop w:val="0"/>
      <w:marBottom w:val="0"/>
      <w:divBdr>
        <w:top w:val="none" w:sz="0" w:space="0" w:color="auto"/>
        <w:left w:val="none" w:sz="0" w:space="0" w:color="auto"/>
        <w:bottom w:val="none" w:sz="0" w:space="0" w:color="auto"/>
        <w:right w:val="none" w:sz="0" w:space="0" w:color="auto"/>
      </w:divBdr>
    </w:div>
    <w:div w:id="556668443">
      <w:marLeft w:val="0"/>
      <w:marRight w:val="0"/>
      <w:marTop w:val="0"/>
      <w:marBottom w:val="0"/>
      <w:divBdr>
        <w:top w:val="none" w:sz="0" w:space="0" w:color="auto"/>
        <w:left w:val="none" w:sz="0" w:space="0" w:color="auto"/>
        <w:bottom w:val="none" w:sz="0" w:space="0" w:color="auto"/>
        <w:right w:val="none" w:sz="0" w:space="0" w:color="auto"/>
      </w:divBdr>
    </w:div>
    <w:div w:id="631638218">
      <w:bodyDiv w:val="1"/>
      <w:marLeft w:val="0"/>
      <w:marRight w:val="0"/>
      <w:marTop w:val="0"/>
      <w:marBottom w:val="0"/>
      <w:divBdr>
        <w:top w:val="none" w:sz="0" w:space="0" w:color="auto"/>
        <w:left w:val="none" w:sz="0" w:space="0" w:color="auto"/>
        <w:bottom w:val="none" w:sz="0" w:space="0" w:color="auto"/>
        <w:right w:val="none" w:sz="0" w:space="0" w:color="auto"/>
      </w:divBdr>
    </w:div>
    <w:div w:id="634140171">
      <w:bodyDiv w:val="1"/>
      <w:marLeft w:val="0"/>
      <w:marRight w:val="0"/>
      <w:marTop w:val="0"/>
      <w:marBottom w:val="0"/>
      <w:divBdr>
        <w:top w:val="none" w:sz="0" w:space="0" w:color="auto"/>
        <w:left w:val="none" w:sz="0" w:space="0" w:color="auto"/>
        <w:bottom w:val="none" w:sz="0" w:space="0" w:color="auto"/>
        <w:right w:val="none" w:sz="0" w:space="0" w:color="auto"/>
      </w:divBdr>
    </w:div>
    <w:div w:id="661856951">
      <w:bodyDiv w:val="1"/>
      <w:marLeft w:val="0"/>
      <w:marRight w:val="0"/>
      <w:marTop w:val="0"/>
      <w:marBottom w:val="0"/>
      <w:divBdr>
        <w:top w:val="none" w:sz="0" w:space="0" w:color="auto"/>
        <w:left w:val="none" w:sz="0" w:space="0" w:color="auto"/>
        <w:bottom w:val="none" w:sz="0" w:space="0" w:color="auto"/>
        <w:right w:val="none" w:sz="0" w:space="0" w:color="auto"/>
      </w:divBdr>
    </w:div>
    <w:div w:id="687829473">
      <w:bodyDiv w:val="1"/>
      <w:marLeft w:val="0"/>
      <w:marRight w:val="0"/>
      <w:marTop w:val="0"/>
      <w:marBottom w:val="0"/>
      <w:divBdr>
        <w:top w:val="none" w:sz="0" w:space="0" w:color="auto"/>
        <w:left w:val="none" w:sz="0" w:space="0" w:color="auto"/>
        <w:bottom w:val="none" w:sz="0" w:space="0" w:color="auto"/>
        <w:right w:val="none" w:sz="0" w:space="0" w:color="auto"/>
      </w:divBdr>
    </w:div>
    <w:div w:id="750665022">
      <w:bodyDiv w:val="1"/>
      <w:marLeft w:val="0"/>
      <w:marRight w:val="0"/>
      <w:marTop w:val="0"/>
      <w:marBottom w:val="0"/>
      <w:divBdr>
        <w:top w:val="none" w:sz="0" w:space="0" w:color="auto"/>
        <w:left w:val="none" w:sz="0" w:space="0" w:color="auto"/>
        <w:bottom w:val="none" w:sz="0" w:space="0" w:color="auto"/>
        <w:right w:val="none" w:sz="0" w:space="0" w:color="auto"/>
      </w:divBdr>
    </w:div>
    <w:div w:id="806822039">
      <w:bodyDiv w:val="1"/>
      <w:marLeft w:val="0"/>
      <w:marRight w:val="0"/>
      <w:marTop w:val="0"/>
      <w:marBottom w:val="0"/>
      <w:divBdr>
        <w:top w:val="none" w:sz="0" w:space="0" w:color="auto"/>
        <w:left w:val="none" w:sz="0" w:space="0" w:color="auto"/>
        <w:bottom w:val="none" w:sz="0" w:space="0" w:color="auto"/>
        <w:right w:val="none" w:sz="0" w:space="0" w:color="auto"/>
      </w:divBdr>
    </w:div>
    <w:div w:id="885411623">
      <w:bodyDiv w:val="1"/>
      <w:marLeft w:val="0"/>
      <w:marRight w:val="0"/>
      <w:marTop w:val="0"/>
      <w:marBottom w:val="0"/>
      <w:divBdr>
        <w:top w:val="none" w:sz="0" w:space="0" w:color="auto"/>
        <w:left w:val="none" w:sz="0" w:space="0" w:color="auto"/>
        <w:bottom w:val="none" w:sz="0" w:space="0" w:color="auto"/>
        <w:right w:val="none" w:sz="0" w:space="0" w:color="auto"/>
      </w:divBdr>
    </w:div>
    <w:div w:id="890725047">
      <w:bodyDiv w:val="1"/>
      <w:marLeft w:val="0"/>
      <w:marRight w:val="0"/>
      <w:marTop w:val="0"/>
      <w:marBottom w:val="0"/>
      <w:divBdr>
        <w:top w:val="none" w:sz="0" w:space="0" w:color="auto"/>
        <w:left w:val="none" w:sz="0" w:space="0" w:color="auto"/>
        <w:bottom w:val="none" w:sz="0" w:space="0" w:color="auto"/>
        <w:right w:val="none" w:sz="0" w:space="0" w:color="auto"/>
      </w:divBdr>
    </w:div>
    <w:div w:id="892691096">
      <w:bodyDiv w:val="1"/>
      <w:marLeft w:val="0"/>
      <w:marRight w:val="0"/>
      <w:marTop w:val="0"/>
      <w:marBottom w:val="0"/>
      <w:divBdr>
        <w:top w:val="none" w:sz="0" w:space="0" w:color="auto"/>
        <w:left w:val="none" w:sz="0" w:space="0" w:color="auto"/>
        <w:bottom w:val="none" w:sz="0" w:space="0" w:color="auto"/>
        <w:right w:val="none" w:sz="0" w:space="0" w:color="auto"/>
      </w:divBdr>
    </w:div>
    <w:div w:id="894005328">
      <w:bodyDiv w:val="1"/>
      <w:marLeft w:val="0"/>
      <w:marRight w:val="0"/>
      <w:marTop w:val="0"/>
      <w:marBottom w:val="0"/>
      <w:divBdr>
        <w:top w:val="none" w:sz="0" w:space="0" w:color="auto"/>
        <w:left w:val="none" w:sz="0" w:space="0" w:color="auto"/>
        <w:bottom w:val="none" w:sz="0" w:space="0" w:color="auto"/>
        <w:right w:val="none" w:sz="0" w:space="0" w:color="auto"/>
      </w:divBdr>
    </w:div>
    <w:div w:id="895699029">
      <w:bodyDiv w:val="1"/>
      <w:marLeft w:val="0"/>
      <w:marRight w:val="0"/>
      <w:marTop w:val="0"/>
      <w:marBottom w:val="0"/>
      <w:divBdr>
        <w:top w:val="none" w:sz="0" w:space="0" w:color="auto"/>
        <w:left w:val="none" w:sz="0" w:space="0" w:color="auto"/>
        <w:bottom w:val="none" w:sz="0" w:space="0" w:color="auto"/>
        <w:right w:val="none" w:sz="0" w:space="0" w:color="auto"/>
      </w:divBdr>
    </w:div>
    <w:div w:id="970867700">
      <w:bodyDiv w:val="1"/>
      <w:marLeft w:val="0"/>
      <w:marRight w:val="0"/>
      <w:marTop w:val="0"/>
      <w:marBottom w:val="0"/>
      <w:divBdr>
        <w:top w:val="none" w:sz="0" w:space="0" w:color="auto"/>
        <w:left w:val="none" w:sz="0" w:space="0" w:color="auto"/>
        <w:bottom w:val="none" w:sz="0" w:space="0" w:color="auto"/>
        <w:right w:val="none" w:sz="0" w:space="0" w:color="auto"/>
      </w:divBdr>
    </w:div>
    <w:div w:id="1065568967">
      <w:bodyDiv w:val="1"/>
      <w:marLeft w:val="0"/>
      <w:marRight w:val="0"/>
      <w:marTop w:val="0"/>
      <w:marBottom w:val="0"/>
      <w:divBdr>
        <w:top w:val="none" w:sz="0" w:space="0" w:color="auto"/>
        <w:left w:val="none" w:sz="0" w:space="0" w:color="auto"/>
        <w:bottom w:val="none" w:sz="0" w:space="0" w:color="auto"/>
        <w:right w:val="none" w:sz="0" w:space="0" w:color="auto"/>
      </w:divBdr>
    </w:div>
    <w:div w:id="1071196859">
      <w:bodyDiv w:val="1"/>
      <w:marLeft w:val="0"/>
      <w:marRight w:val="0"/>
      <w:marTop w:val="0"/>
      <w:marBottom w:val="0"/>
      <w:divBdr>
        <w:top w:val="none" w:sz="0" w:space="0" w:color="auto"/>
        <w:left w:val="none" w:sz="0" w:space="0" w:color="auto"/>
        <w:bottom w:val="none" w:sz="0" w:space="0" w:color="auto"/>
        <w:right w:val="none" w:sz="0" w:space="0" w:color="auto"/>
      </w:divBdr>
    </w:div>
    <w:div w:id="1074428165">
      <w:bodyDiv w:val="1"/>
      <w:marLeft w:val="0"/>
      <w:marRight w:val="0"/>
      <w:marTop w:val="0"/>
      <w:marBottom w:val="0"/>
      <w:divBdr>
        <w:top w:val="none" w:sz="0" w:space="0" w:color="auto"/>
        <w:left w:val="none" w:sz="0" w:space="0" w:color="auto"/>
        <w:bottom w:val="none" w:sz="0" w:space="0" w:color="auto"/>
        <w:right w:val="none" w:sz="0" w:space="0" w:color="auto"/>
      </w:divBdr>
    </w:div>
    <w:div w:id="1076167314">
      <w:bodyDiv w:val="1"/>
      <w:marLeft w:val="0"/>
      <w:marRight w:val="0"/>
      <w:marTop w:val="0"/>
      <w:marBottom w:val="0"/>
      <w:divBdr>
        <w:top w:val="none" w:sz="0" w:space="0" w:color="auto"/>
        <w:left w:val="none" w:sz="0" w:space="0" w:color="auto"/>
        <w:bottom w:val="none" w:sz="0" w:space="0" w:color="auto"/>
        <w:right w:val="none" w:sz="0" w:space="0" w:color="auto"/>
      </w:divBdr>
    </w:div>
    <w:div w:id="1214583074">
      <w:bodyDiv w:val="1"/>
      <w:marLeft w:val="0"/>
      <w:marRight w:val="0"/>
      <w:marTop w:val="0"/>
      <w:marBottom w:val="0"/>
      <w:divBdr>
        <w:top w:val="none" w:sz="0" w:space="0" w:color="auto"/>
        <w:left w:val="none" w:sz="0" w:space="0" w:color="auto"/>
        <w:bottom w:val="none" w:sz="0" w:space="0" w:color="auto"/>
        <w:right w:val="none" w:sz="0" w:space="0" w:color="auto"/>
      </w:divBdr>
    </w:div>
    <w:div w:id="1248349671">
      <w:bodyDiv w:val="1"/>
      <w:marLeft w:val="0"/>
      <w:marRight w:val="0"/>
      <w:marTop w:val="0"/>
      <w:marBottom w:val="0"/>
      <w:divBdr>
        <w:top w:val="none" w:sz="0" w:space="0" w:color="auto"/>
        <w:left w:val="none" w:sz="0" w:space="0" w:color="auto"/>
        <w:bottom w:val="none" w:sz="0" w:space="0" w:color="auto"/>
        <w:right w:val="none" w:sz="0" w:space="0" w:color="auto"/>
      </w:divBdr>
    </w:div>
    <w:div w:id="1257791454">
      <w:bodyDiv w:val="1"/>
      <w:marLeft w:val="0"/>
      <w:marRight w:val="0"/>
      <w:marTop w:val="0"/>
      <w:marBottom w:val="0"/>
      <w:divBdr>
        <w:top w:val="none" w:sz="0" w:space="0" w:color="auto"/>
        <w:left w:val="none" w:sz="0" w:space="0" w:color="auto"/>
        <w:bottom w:val="none" w:sz="0" w:space="0" w:color="auto"/>
        <w:right w:val="none" w:sz="0" w:space="0" w:color="auto"/>
      </w:divBdr>
    </w:div>
    <w:div w:id="1265184706">
      <w:bodyDiv w:val="1"/>
      <w:marLeft w:val="0"/>
      <w:marRight w:val="0"/>
      <w:marTop w:val="0"/>
      <w:marBottom w:val="0"/>
      <w:divBdr>
        <w:top w:val="none" w:sz="0" w:space="0" w:color="auto"/>
        <w:left w:val="none" w:sz="0" w:space="0" w:color="auto"/>
        <w:bottom w:val="none" w:sz="0" w:space="0" w:color="auto"/>
        <w:right w:val="none" w:sz="0" w:space="0" w:color="auto"/>
      </w:divBdr>
    </w:div>
    <w:div w:id="1367409548">
      <w:bodyDiv w:val="1"/>
      <w:marLeft w:val="0"/>
      <w:marRight w:val="0"/>
      <w:marTop w:val="0"/>
      <w:marBottom w:val="0"/>
      <w:divBdr>
        <w:top w:val="none" w:sz="0" w:space="0" w:color="auto"/>
        <w:left w:val="none" w:sz="0" w:space="0" w:color="auto"/>
        <w:bottom w:val="none" w:sz="0" w:space="0" w:color="auto"/>
        <w:right w:val="none" w:sz="0" w:space="0" w:color="auto"/>
      </w:divBdr>
    </w:div>
    <w:div w:id="1401904625">
      <w:bodyDiv w:val="1"/>
      <w:marLeft w:val="0"/>
      <w:marRight w:val="0"/>
      <w:marTop w:val="0"/>
      <w:marBottom w:val="0"/>
      <w:divBdr>
        <w:top w:val="none" w:sz="0" w:space="0" w:color="auto"/>
        <w:left w:val="none" w:sz="0" w:space="0" w:color="auto"/>
        <w:bottom w:val="none" w:sz="0" w:space="0" w:color="auto"/>
        <w:right w:val="none" w:sz="0" w:space="0" w:color="auto"/>
      </w:divBdr>
    </w:div>
    <w:div w:id="1416392136">
      <w:bodyDiv w:val="1"/>
      <w:marLeft w:val="0"/>
      <w:marRight w:val="0"/>
      <w:marTop w:val="0"/>
      <w:marBottom w:val="0"/>
      <w:divBdr>
        <w:top w:val="none" w:sz="0" w:space="0" w:color="auto"/>
        <w:left w:val="none" w:sz="0" w:space="0" w:color="auto"/>
        <w:bottom w:val="none" w:sz="0" w:space="0" w:color="auto"/>
        <w:right w:val="none" w:sz="0" w:space="0" w:color="auto"/>
      </w:divBdr>
    </w:div>
    <w:div w:id="1478691688">
      <w:bodyDiv w:val="1"/>
      <w:marLeft w:val="0"/>
      <w:marRight w:val="0"/>
      <w:marTop w:val="0"/>
      <w:marBottom w:val="0"/>
      <w:divBdr>
        <w:top w:val="none" w:sz="0" w:space="0" w:color="auto"/>
        <w:left w:val="none" w:sz="0" w:space="0" w:color="auto"/>
        <w:bottom w:val="none" w:sz="0" w:space="0" w:color="auto"/>
        <w:right w:val="none" w:sz="0" w:space="0" w:color="auto"/>
      </w:divBdr>
    </w:div>
    <w:div w:id="1520507517">
      <w:bodyDiv w:val="1"/>
      <w:marLeft w:val="0"/>
      <w:marRight w:val="0"/>
      <w:marTop w:val="0"/>
      <w:marBottom w:val="0"/>
      <w:divBdr>
        <w:top w:val="none" w:sz="0" w:space="0" w:color="auto"/>
        <w:left w:val="none" w:sz="0" w:space="0" w:color="auto"/>
        <w:bottom w:val="none" w:sz="0" w:space="0" w:color="auto"/>
        <w:right w:val="none" w:sz="0" w:space="0" w:color="auto"/>
      </w:divBdr>
    </w:div>
    <w:div w:id="1601067547">
      <w:bodyDiv w:val="1"/>
      <w:marLeft w:val="0"/>
      <w:marRight w:val="0"/>
      <w:marTop w:val="0"/>
      <w:marBottom w:val="0"/>
      <w:divBdr>
        <w:top w:val="none" w:sz="0" w:space="0" w:color="auto"/>
        <w:left w:val="none" w:sz="0" w:space="0" w:color="auto"/>
        <w:bottom w:val="none" w:sz="0" w:space="0" w:color="auto"/>
        <w:right w:val="none" w:sz="0" w:space="0" w:color="auto"/>
      </w:divBdr>
    </w:div>
    <w:div w:id="1640501202">
      <w:bodyDiv w:val="1"/>
      <w:marLeft w:val="0"/>
      <w:marRight w:val="0"/>
      <w:marTop w:val="0"/>
      <w:marBottom w:val="0"/>
      <w:divBdr>
        <w:top w:val="none" w:sz="0" w:space="0" w:color="auto"/>
        <w:left w:val="none" w:sz="0" w:space="0" w:color="auto"/>
        <w:bottom w:val="none" w:sz="0" w:space="0" w:color="auto"/>
        <w:right w:val="none" w:sz="0" w:space="0" w:color="auto"/>
      </w:divBdr>
    </w:div>
    <w:div w:id="1693844192">
      <w:bodyDiv w:val="1"/>
      <w:marLeft w:val="0"/>
      <w:marRight w:val="0"/>
      <w:marTop w:val="0"/>
      <w:marBottom w:val="0"/>
      <w:divBdr>
        <w:top w:val="none" w:sz="0" w:space="0" w:color="auto"/>
        <w:left w:val="none" w:sz="0" w:space="0" w:color="auto"/>
        <w:bottom w:val="none" w:sz="0" w:space="0" w:color="auto"/>
        <w:right w:val="none" w:sz="0" w:space="0" w:color="auto"/>
      </w:divBdr>
    </w:div>
    <w:div w:id="1722247285">
      <w:bodyDiv w:val="1"/>
      <w:marLeft w:val="0"/>
      <w:marRight w:val="0"/>
      <w:marTop w:val="0"/>
      <w:marBottom w:val="0"/>
      <w:divBdr>
        <w:top w:val="none" w:sz="0" w:space="0" w:color="auto"/>
        <w:left w:val="none" w:sz="0" w:space="0" w:color="auto"/>
        <w:bottom w:val="none" w:sz="0" w:space="0" w:color="auto"/>
        <w:right w:val="none" w:sz="0" w:space="0" w:color="auto"/>
      </w:divBdr>
    </w:div>
    <w:div w:id="1732266937">
      <w:bodyDiv w:val="1"/>
      <w:marLeft w:val="0"/>
      <w:marRight w:val="0"/>
      <w:marTop w:val="0"/>
      <w:marBottom w:val="0"/>
      <w:divBdr>
        <w:top w:val="none" w:sz="0" w:space="0" w:color="auto"/>
        <w:left w:val="none" w:sz="0" w:space="0" w:color="auto"/>
        <w:bottom w:val="none" w:sz="0" w:space="0" w:color="auto"/>
        <w:right w:val="none" w:sz="0" w:space="0" w:color="auto"/>
      </w:divBdr>
    </w:div>
    <w:div w:id="1743527696">
      <w:bodyDiv w:val="1"/>
      <w:marLeft w:val="0"/>
      <w:marRight w:val="0"/>
      <w:marTop w:val="0"/>
      <w:marBottom w:val="0"/>
      <w:divBdr>
        <w:top w:val="none" w:sz="0" w:space="0" w:color="auto"/>
        <w:left w:val="none" w:sz="0" w:space="0" w:color="auto"/>
        <w:bottom w:val="none" w:sz="0" w:space="0" w:color="auto"/>
        <w:right w:val="none" w:sz="0" w:space="0" w:color="auto"/>
      </w:divBdr>
    </w:div>
    <w:div w:id="1773554121">
      <w:bodyDiv w:val="1"/>
      <w:marLeft w:val="0"/>
      <w:marRight w:val="0"/>
      <w:marTop w:val="0"/>
      <w:marBottom w:val="0"/>
      <w:divBdr>
        <w:top w:val="none" w:sz="0" w:space="0" w:color="auto"/>
        <w:left w:val="none" w:sz="0" w:space="0" w:color="auto"/>
        <w:bottom w:val="none" w:sz="0" w:space="0" w:color="auto"/>
        <w:right w:val="none" w:sz="0" w:space="0" w:color="auto"/>
      </w:divBdr>
    </w:div>
    <w:div w:id="1849709949">
      <w:bodyDiv w:val="1"/>
      <w:marLeft w:val="0"/>
      <w:marRight w:val="0"/>
      <w:marTop w:val="0"/>
      <w:marBottom w:val="0"/>
      <w:divBdr>
        <w:top w:val="none" w:sz="0" w:space="0" w:color="auto"/>
        <w:left w:val="none" w:sz="0" w:space="0" w:color="auto"/>
        <w:bottom w:val="none" w:sz="0" w:space="0" w:color="auto"/>
        <w:right w:val="none" w:sz="0" w:space="0" w:color="auto"/>
      </w:divBdr>
    </w:div>
    <w:div w:id="1896813528">
      <w:bodyDiv w:val="1"/>
      <w:marLeft w:val="0"/>
      <w:marRight w:val="0"/>
      <w:marTop w:val="0"/>
      <w:marBottom w:val="0"/>
      <w:divBdr>
        <w:top w:val="none" w:sz="0" w:space="0" w:color="auto"/>
        <w:left w:val="none" w:sz="0" w:space="0" w:color="auto"/>
        <w:bottom w:val="none" w:sz="0" w:space="0" w:color="auto"/>
        <w:right w:val="none" w:sz="0" w:space="0" w:color="auto"/>
      </w:divBdr>
    </w:div>
    <w:div w:id="1915506605">
      <w:bodyDiv w:val="1"/>
      <w:marLeft w:val="0"/>
      <w:marRight w:val="0"/>
      <w:marTop w:val="0"/>
      <w:marBottom w:val="0"/>
      <w:divBdr>
        <w:top w:val="none" w:sz="0" w:space="0" w:color="auto"/>
        <w:left w:val="none" w:sz="0" w:space="0" w:color="auto"/>
        <w:bottom w:val="none" w:sz="0" w:space="0" w:color="auto"/>
        <w:right w:val="none" w:sz="0" w:space="0" w:color="auto"/>
      </w:divBdr>
    </w:div>
    <w:div w:id="1923568568">
      <w:bodyDiv w:val="1"/>
      <w:marLeft w:val="0"/>
      <w:marRight w:val="0"/>
      <w:marTop w:val="0"/>
      <w:marBottom w:val="0"/>
      <w:divBdr>
        <w:top w:val="none" w:sz="0" w:space="0" w:color="auto"/>
        <w:left w:val="none" w:sz="0" w:space="0" w:color="auto"/>
        <w:bottom w:val="none" w:sz="0" w:space="0" w:color="auto"/>
        <w:right w:val="none" w:sz="0" w:space="0" w:color="auto"/>
      </w:divBdr>
    </w:div>
    <w:div w:id="1927493260">
      <w:bodyDiv w:val="1"/>
      <w:marLeft w:val="0"/>
      <w:marRight w:val="0"/>
      <w:marTop w:val="0"/>
      <w:marBottom w:val="0"/>
      <w:divBdr>
        <w:top w:val="none" w:sz="0" w:space="0" w:color="auto"/>
        <w:left w:val="none" w:sz="0" w:space="0" w:color="auto"/>
        <w:bottom w:val="none" w:sz="0" w:space="0" w:color="auto"/>
        <w:right w:val="none" w:sz="0" w:space="0" w:color="auto"/>
      </w:divBdr>
    </w:div>
    <w:div w:id="1937395111">
      <w:bodyDiv w:val="1"/>
      <w:marLeft w:val="0"/>
      <w:marRight w:val="0"/>
      <w:marTop w:val="0"/>
      <w:marBottom w:val="0"/>
      <w:divBdr>
        <w:top w:val="none" w:sz="0" w:space="0" w:color="auto"/>
        <w:left w:val="none" w:sz="0" w:space="0" w:color="auto"/>
        <w:bottom w:val="none" w:sz="0" w:space="0" w:color="auto"/>
        <w:right w:val="none" w:sz="0" w:space="0" w:color="auto"/>
      </w:divBdr>
    </w:div>
    <w:div w:id="2004699556">
      <w:bodyDiv w:val="1"/>
      <w:marLeft w:val="0"/>
      <w:marRight w:val="0"/>
      <w:marTop w:val="0"/>
      <w:marBottom w:val="0"/>
      <w:divBdr>
        <w:top w:val="none" w:sz="0" w:space="0" w:color="auto"/>
        <w:left w:val="none" w:sz="0" w:space="0" w:color="auto"/>
        <w:bottom w:val="none" w:sz="0" w:space="0" w:color="auto"/>
        <w:right w:val="none" w:sz="0" w:space="0" w:color="auto"/>
      </w:divBdr>
    </w:div>
    <w:div w:id="2048211731">
      <w:bodyDiv w:val="1"/>
      <w:marLeft w:val="0"/>
      <w:marRight w:val="0"/>
      <w:marTop w:val="0"/>
      <w:marBottom w:val="0"/>
      <w:divBdr>
        <w:top w:val="none" w:sz="0" w:space="0" w:color="auto"/>
        <w:left w:val="none" w:sz="0" w:space="0" w:color="auto"/>
        <w:bottom w:val="none" w:sz="0" w:space="0" w:color="auto"/>
        <w:right w:val="none" w:sz="0" w:space="0" w:color="auto"/>
      </w:divBdr>
    </w:div>
    <w:div w:id="2072340278">
      <w:bodyDiv w:val="1"/>
      <w:marLeft w:val="0"/>
      <w:marRight w:val="0"/>
      <w:marTop w:val="0"/>
      <w:marBottom w:val="0"/>
      <w:divBdr>
        <w:top w:val="none" w:sz="0" w:space="0" w:color="auto"/>
        <w:left w:val="none" w:sz="0" w:space="0" w:color="auto"/>
        <w:bottom w:val="none" w:sz="0" w:space="0" w:color="auto"/>
        <w:right w:val="none" w:sz="0" w:space="0" w:color="auto"/>
      </w:divBdr>
    </w:div>
    <w:div w:id="21426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uoban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D963-C7B3-4256-80BE-FB3D46F7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6008</Words>
  <Characters>34250</Characters>
  <Application>Microsoft Office Word</Application>
  <DocSecurity>0</DocSecurity>
  <Lines>285</Lines>
  <Paragraphs>80</Paragraphs>
  <ScaleCrop>false</ScaleCrop>
  <Company>Microsoft</Company>
  <LinksUpToDate>false</LinksUpToDate>
  <CharactersWithSpaces>40178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普陀农村商业银行2017年度信息披露报告</dc:title>
  <dc:creator>Administrator</dc:creator>
  <cp:lastModifiedBy>朱珈萱</cp:lastModifiedBy>
  <cp:revision>8</cp:revision>
  <cp:lastPrinted>2021-04-12T05:54:00Z</cp:lastPrinted>
  <dcterms:created xsi:type="dcterms:W3CDTF">2024-04-16T00:17:00Z</dcterms:created>
  <dcterms:modified xsi:type="dcterms:W3CDTF">2024-04-21T22:41:00Z</dcterms:modified>
</cp:coreProperties>
</file>